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53" w:rsidRDefault="00534F53" w:rsidP="00534F53">
      <w:pPr>
        <w:jc w:val="center"/>
        <w:rPr>
          <w:rFonts w:ascii="Arial" w:hAnsi="Arial" w:cs="Arial"/>
          <w:sz w:val="36"/>
          <w:szCs w:val="36"/>
        </w:rPr>
      </w:pPr>
    </w:p>
    <w:p w:rsidR="00932EEB" w:rsidRDefault="00534F53" w:rsidP="00534F53">
      <w:pPr>
        <w:jc w:val="center"/>
        <w:rPr>
          <w:rFonts w:ascii="Arial" w:hAnsi="Arial" w:cs="Arial"/>
          <w:color w:val="943634" w:themeColor="accent2" w:themeShade="BF"/>
          <w:sz w:val="36"/>
          <w:szCs w:val="36"/>
        </w:rPr>
      </w:pPr>
      <w:r w:rsidRPr="00534F53">
        <w:rPr>
          <w:rFonts w:ascii="Arial" w:hAnsi="Arial" w:cs="Arial"/>
          <w:color w:val="943634" w:themeColor="accent2" w:themeShade="BF"/>
          <w:sz w:val="36"/>
          <w:szCs w:val="36"/>
          <w:highlight w:val="darkCyan"/>
        </w:rPr>
        <w:t>TRANSFORMACION CULTURAL</w:t>
      </w:r>
    </w:p>
    <w:p w:rsidR="00534F53" w:rsidRDefault="00754CE2" w:rsidP="00754CE2">
      <w:pPr>
        <w:jc w:val="both"/>
        <w:rPr>
          <w:rFonts w:ascii="Arial" w:hAnsi="Arial" w:cs="Arial"/>
          <w:color w:val="548DD4" w:themeColor="text2" w:themeTint="99"/>
          <w:sz w:val="36"/>
          <w:szCs w:val="36"/>
        </w:rPr>
      </w:pPr>
      <w:r>
        <w:rPr>
          <w:rFonts w:ascii="Arial" w:hAnsi="Arial" w:cs="Arial"/>
          <w:color w:val="548DD4" w:themeColor="text2" w:themeTint="99"/>
          <w:sz w:val="36"/>
          <w:szCs w:val="36"/>
        </w:rPr>
        <w:t>La transformación cultural forma parte de la comunidad educativa noción que fue incorporada en la ley general de la educación con un espíritu amplio pero que ha tenido para muchos un significado limitado a las personas más</w:t>
      </w:r>
      <w:bookmarkStart w:id="0" w:name="_GoBack"/>
      <w:bookmarkEnd w:id="0"/>
      <w:r>
        <w:rPr>
          <w:rFonts w:ascii="Arial" w:hAnsi="Arial" w:cs="Arial"/>
          <w:color w:val="548DD4" w:themeColor="text2" w:themeTint="99"/>
          <w:sz w:val="36"/>
          <w:szCs w:val="36"/>
        </w:rPr>
        <w:t xml:space="preserve"> directamente relacionadas con el funcionamiento de la institución escolar (docentes, personal administrativo, padres de familia).</w:t>
      </w:r>
    </w:p>
    <w:p w:rsidR="00754CE2" w:rsidRPr="00754CE2" w:rsidRDefault="00754CE2" w:rsidP="00754CE2">
      <w:pPr>
        <w:jc w:val="both"/>
        <w:rPr>
          <w:rFonts w:ascii="Arial" w:hAnsi="Arial" w:cs="Arial"/>
          <w:color w:val="548DD4" w:themeColor="text2" w:themeTint="99"/>
          <w:sz w:val="36"/>
          <w:szCs w:val="36"/>
        </w:rPr>
      </w:pPr>
      <w:r>
        <w:rPr>
          <w:rFonts w:ascii="Arial" w:hAnsi="Arial" w:cs="Arial"/>
          <w:color w:val="548DD4" w:themeColor="text2" w:themeTint="99"/>
          <w:sz w:val="36"/>
          <w:szCs w:val="36"/>
        </w:rPr>
        <w:t>Con la mira puesta en totalidad de escuelas de educación básica primarias urbanas oficiales del país (aproximadamente 7000), el proyecto estructuro una dinámica de movilización social.</w:t>
      </w:r>
    </w:p>
    <w:p w:rsidR="00534F53" w:rsidRPr="00534F53" w:rsidRDefault="00534F53" w:rsidP="00534F53">
      <w:pPr>
        <w:jc w:val="center"/>
        <w:rPr>
          <w:rFonts w:ascii="Arial" w:hAnsi="Arial" w:cs="Arial"/>
          <w:sz w:val="36"/>
          <w:szCs w:val="36"/>
        </w:rPr>
      </w:pPr>
    </w:p>
    <w:sectPr w:rsidR="00534F53" w:rsidRPr="00534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53"/>
    <w:rsid w:val="00534F53"/>
    <w:rsid w:val="00754CE2"/>
    <w:rsid w:val="00932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Words>
  <Characters>478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Corredor</dc:creator>
  <cp:lastModifiedBy>Flia Corredor</cp:lastModifiedBy>
  <cp:revision>1</cp:revision>
  <dcterms:created xsi:type="dcterms:W3CDTF">2013-03-06T04:06:00Z</dcterms:created>
  <dcterms:modified xsi:type="dcterms:W3CDTF">2013-03-06T04:23:00Z</dcterms:modified>
</cp:coreProperties>
</file>