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5" w:rsidRPr="004A4D9E" w:rsidRDefault="004A4D9E" w:rsidP="004A4D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 xml:space="preserve">Integración curricular de </w:t>
      </w:r>
      <w:proofErr w:type="spellStart"/>
      <w:r w:rsidRPr="004A4D9E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Pr="004A4D9E">
        <w:rPr>
          <w:rFonts w:ascii="TimesNewRoman" w:hAnsi="TimesNewRoman" w:cs="TimesNewRoman"/>
          <w:sz w:val="28"/>
          <w:szCs w:val="28"/>
        </w:rPr>
        <w:t xml:space="preserve"> es el proceso de hacerlas enteramente parte del </w:t>
      </w:r>
      <w:proofErr w:type="spellStart"/>
      <w:r w:rsidRPr="004A4D9E">
        <w:rPr>
          <w:rFonts w:ascii="TimesNewRoman" w:hAnsi="TimesNewRoman" w:cs="TimesNewRoman"/>
          <w:sz w:val="28"/>
          <w:szCs w:val="28"/>
        </w:rPr>
        <w:t>curriculum</w:t>
      </w:r>
      <w:proofErr w:type="spellEnd"/>
      <w:r w:rsidRPr="004A4D9E">
        <w:rPr>
          <w:rFonts w:ascii="TimesNewRoman" w:hAnsi="TimesNewRoman" w:cs="TimesNewRoman"/>
          <w:sz w:val="28"/>
          <w:szCs w:val="28"/>
        </w:rPr>
        <w:t>, como parte de un todo, permeándolas con los principios educativos y la didáctica que conforman el engranaje del aprender. Ello fundamentalmente implica un uso armónico y funcional para un propósito del aprender específico en un dominio o una disciplina curricular.</w:t>
      </w:r>
    </w:p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4A4D9E" w:rsidRPr="004A4D9E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A0"/>
    <w:multiLevelType w:val="hybridMultilevel"/>
    <w:tmpl w:val="605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4A4D9E"/>
    <w:rsid w:val="00911C2F"/>
    <w:rsid w:val="009A0726"/>
    <w:rsid w:val="00BC45B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Company>todopc-110815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2013-06-27T02:39:00Z</dcterms:created>
  <dcterms:modified xsi:type="dcterms:W3CDTF">2013-06-27T02:44:00Z</dcterms:modified>
</cp:coreProperties>
</file>