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49" w:rsidRDefault="00BF430B">
      <w:pPr>
        <w:rPr>
          <w:b/>
        </w:rPr>
      </w:pPr>
      <w:r>
        <w:tab/>
      </w:r>
      <w:r w:rsidRPr="00BF430B">
        <w:rPr>
          <w:b/>
        </w:rPr>
        <w:t>Propuesta de contenido:</w:t>
      </w:r>
    </w:p>
    <w:p w:rsidR="004E4396" w:rsidRPr="004E4396" w:rsidRDefault="004E4396" w:rsidP="004E4396">
      <w:pPr>
        <w:rPr>
          <w:b/>
        </w:rPr>
      </w:pPr>
      <w:r w:rsidRPr="004E4396">
        <w:rPr>
          <w:b/>
        </w:rPr>
        <w:t xml:space="preserve">CAPÍTULO </w:t>
      </w:r>
      <w:r>
        <w:rPr>
          <w:b/>
        </w:rPr>
        <w:t>1</w:t>
      </w:r>
      <w:r w:rsidRPr="004E4396">
        <w:rPr>
          <w:b/>
        </w:rPr>
        <w:t>: ANTECEDENTES GENERALES</w:t>
      </w:r>
    </w:p>
    <w:p w:rsidR="004E4396" w:rsidRPr="004E4396" w:rsidRDefault="004E4396" w:rsidP="004E4396">
      <w:r w:rsidRPr="004E4396">
        <w:t>1.1.</w:t>
      </w:r>
      <w:r w:rsidRPr="004E4396">
        <w:tab/>
        <w:t>Marco Teórico de la Gestión de Riesgos</w:t>
      </w:r>
    </w:p>
    <w:p w:rsidR="004E4396" w:rsidRPr="004E4396" w:rsidRDefault="004E4396" w:rsidP="004E4396">
      <w:r w:rsidRPr="004E4396">
        <w:t>1.1.1.</w:t>
      </w:r>
      <w:r w:rsidRPr="004E4396">
        <w:tab/>
        <w:t>Tipos de Riesgos</w:t>
      </w:r>
    </w:p>
    <w:p w:rsidR="004E4396" w:rsidRPr="004E4396" w:rsidRDefault="004E4396" w:rsidP="004E4396">
      <w:r w:rsidRPr="004E4396">
        <w:t>1.1.2.</w:t>
      </w:r>
      <w:r w:rsidRPr="004E4396">
        <w:tab/>
        <w:t>Prácticas de control interno para la administración de riesgos (COSO I y COSO II)</w:t>
      </w:r>
    </w:p>
    <w:p w:rsidR="004E4396" w:rsidRPr="004E4396" w:rsidRDefault="004E4396" w:rsidP="004E4396">
      <w:r w:rsidRPr="004E4396">
        <w:t>1.2.</w:t>
      </w:r>
      <w:r w:rsidRPr="004E4396">
        <w:tab/>
      </w:r>
      <w:r>
        <w:t>Segmento de bancos grandes del Ecuador</w:t>
      </w:r>
    </w:p>
    <w:p w:rsidR="004E4396" w:rsidRPr="004E4396" w:rsidRDefault="004E4396" w:rsidP="004E4396">
      <w:r>
        <w:t>1.2.1.</w:t>
      </w:r>
      <w:r>
        <w:tab/>
        <w:t>Reseña hi</w:t>
      </w:r>
      <w:r w:rsidRPr="004E4396">
        <w:t xml:space="preserve">stórica </w:t>
      </w:r>
      <w:r>
        <w:t>de los bancos</w:t>
      </w:r>
    </w:p>
    <w:p w:rsidR="004E4396" w:rsidRPr="004E4396" w:rsidRDefault="004E4396" w:rsidP="004E4396">
      <w:r w:rsidRPr="004E4396">
        <w:t>1.2.2.</w:t>
      </w:r>
      <w:r w:rsidRPr="004E4396">
        <w:tab/>
        <w:t>Características y finalidad</w:t>
      </w:r>
    </w:p>
    <w:p w:rsidR="004E4396" w:rsidRPr="004E4396" w:rsidRDefault="004E4396" w:rsidP="004E4396">
      <w:r w:rsidRPr="004E4396">
        <w:t>1.3.</w:t>
      </w:r>
      <w:r w:rsidRPr="004E4396">
        <w:tab/>
        <w:t>Referencias Legales</w:t>
      </w:r>
    </w:p>
    <w:p w:rsidR="004E4396" w:rsidRPr="004E4396" w:rsidRDefault="004E4396" w:rsidP="004E4396">
      <w:r w:rsidRPr="004E4396">
        <w:t>1.3.1.</w:t>
      </w:r>
      <w:r w:rsidRPr="004E4396">
        <w:tab/>
      </w:r>
      <w:r>
        <w:t>Código Orgánico Monetario y Financiero</w:t>
      </w:r>
    </w:p>
    <w:p w:rsidR="004E4396" w:rsidRPr="004E4396" w:rsidRDefault="004E4396" w:rsidP="004E4396">
      <w:r w:rsidRPr="004E4396">
        <w:t>1.3.2.</w:t>
      </w:r>
      <w:r w:rsidRPr="004E4396">
        <w:tab/>
        <w:t>Codificación de Resoluciones de la Superintendencia de Bancos y Seguros y Junta Bancaria.</w:t>
      </w:r>
    </w:p>
    <w:p w:rsidR="004E4396" w:rsidRPr="004E4396" w:rsidRDefault="004E4396" w:rsidP="004E4396">
      <w:r w:rsidRPr="004E4396">
        <w:t>1.3.3.</w:t>
      </w:r>
      <w:r w:rsidRPr="004E4396">
        <w:tab/>
        <w:t xml:space="preserve">Principios de Basilea </w:t>
      </w:r>
    </w:p>
    <w:p w:rsidR="004E4396" w:rsidRPr="004E4396" w:rsidRDefault="004E4396" w:rsidP="004E4396">
      <w:pPr>
        <w:rPr>
          <w:b/>
        </w:rPr>
      </w:pPr>
      <w:r w:rsidRPr="004E4396">
        <w:rPr>
          <w:b/>
        </w:rPr>
        <w:t>CAPÍTULO 2 EVALUACIÓN DEL</w:t>
      </w:r>
      <w:r w:rsidRPr="004E4396">
        <w:rPr>
          <w:b/>
        </w:rPr>
        <w:t xml:space="preserve"> RIESGO DE LIQUIDEZ</w:t>
      </w:r>
    </w:p>
    <w:p w:rsidR="004E4396" w:rsidRPr="004E4396" w:rsidRDefault="004E4396" w:rsidP="004E4396">
      <w:r w:rsidRPr="004E4396">
        <w:t>2.1. Análisis de Fuentes de Fondeo</w:t>
      </w:r>
    </w:p>
    <w:p w:rsidR="004E4396" w:rsidRPr="004E4396" w:rsidRDefault="004E4396" w:rsidP="004E4396">
      <w:r w:rsidRPr="004E4396">
        <w:t>2.2. Activos Líquidos Netos</w:t>
      </w:r>
    </w:p>
    <w:p w:rsidR="004E4396" w:rsidRPr="004E4396" w:rsidRDefault="004E4396" w:rsidP="004E4396">
      <w:r w:rsidRPr="004E4396">
        <w:t>2.3. Reporte de Liquidez Estructural</w:t>
      </w:r>
    </w:p>
    <w:p w:rsidR="004E4396" w:rsidRPr="004E4396" w:rsidRDefault="004E4396" w:rsidP="004E4396">
      <w:r w:rsidRPr="004E4396">
        <w:t>2.4. Reporte de Brechas de Liquidez</w:t>
      </w:r>
    </w:p>
    <w:p w:rsidR="004E4396" w:rsidRPr="004E4396" w:rsidRDefault="004E4396" w:rsidP="004E4396">
      <w:r w:rsidRPr="004E4396">
        <w:t>2.4.1. Escenario Contractual</w:t>
      </w:r>
    </w:p>
    <w:p w:rsidR="004E4396" w:rsidRPr="004E4396" w:rsidRDefault="004E4396" w:rsidP="004E4396">
      <w:r w:rsidRPr="004E4396">
        <w:t>2.4.2. Escenario Esperado</w:t>
      </w:r>
    </w:p>
    <w:p w:rsidR="004E4396" w:rsidRPr="004E4396" w:rsidRDefault="004E4396" w:rsidP="004E4396">
      <w:r w:rsidRPr="004E4396">
        <w:t>2.4.3. Escenario Dinámico</w:t>
      </w:r>
    </w:p>
    <w:p w:rsidR="004E4396" w:rsidRPr="004E4396" w:rsidRDefault="004E4396" w:rsidP="004E4396">
      <w:r w:rsidRPr="004E4396">
        <w:t>2.5. Prácticas de control interno para la administración de riesgo de liquidez</w:t>
      </w:r>
    </w:p>
    <w:p w:rsidR="004E4396" w:rsidRDefault="004E4396">
      <w:r>
        <w:lastRenderedPageBreak/>
        <w:t>CAPITULO 3 CONCLUSIONES Y RECOMENDACIONES</w:t>
      </w:r>
    </w:p>
    <w:p w:rsidR="004E4396" w:rsidRDefault="004E4396">
      <w:r>
        <w:t>3.1. Conclusiones</w:t>
      </w:r>
    </w:p>
    <w:p w:rsidR="004E4396" w:rsidRDefault="004E4396">
      <w:r>
        <w:t>3.2. Recomendaciones</w:t>
      </w:r>
    </w:p>
    <w:p w:rsidR="004E4396" w:rsidRPr="004E4396" w:rsidRDefault="004E4396">
      <w:bookmarkStart w:id="0" w:name="_GoBack"/>
      <w:bookmarkEnd w:id="0"/>
    </w:p>
    <w:sectPr w:rsidR="004E4396" w:rsidRPr="004E439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30B"/>
    <w:rsid w:val="003E4A9B"/>
    <w:rsid w:val="004E4396"/>
    <w:rsid w:val="00784849"/>
    <w:rsid w:val="00876427"/>
    <w:rsid w:val="00993106"/>
    <w:rsid w:val="009B584F"/>
    <w:rsid w:val="00A17481"/>
    <w:rsid w:val="00BF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B57523-2270-403B-91D0-238BBCBA8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aller proyectos"/>
    <w:qFormat/>
    <w:rsid w:val="00A17481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Troya J.</dc:creator>
  <cp:lastModifiedBy>Marco Erazo</cp:lastModifiedBy>
  <cp:revision>2</cp:revision>
  <dcterms:created xsi:type="dcterms:W3CDTF">2018-06-10T16:38:00Z</dcterms:created>
  <dcterms:modified xsi:type="dcterms:W3CDTF">2018-06-10T16:38:00Z</dcterms:modified>
</cp:coreProperties>
</file>