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52" w:rsidRDefault="00D02270" w:rsidP="00D0227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lang w:eastAsia="es-MX"/>
        </w:rPr>
        <w:t>PROCESO</w:t>
      </w:r>
    </w:p>
    <w:p w:rsidR="003E2271" w:rsidRDefault="003E2271" w:rsidP="005F7D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p w:rsidR="003E2271" w:rsidRPr="00D02270" w:rsidRDefault="003E2271" w:rsidP="00D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70">
        <w:rPr>
          <w:rFonts w:ascii="Times New Roman" w:hAnsi="Times New Roman" w:cs="Times New Roman"/>
          <w:sz w:val="28"/>
          <w:szCs w:val="28"/>
        </w:rPr>
        <w:t xml:space="preserve">El proceso de diseño consta de dos actividades </w:t>
      </w:r>
      <w:r w:rsidR="00D02270" w:rsidRPr="00D02270">
        <w:rPr>
          <w:rFonts w:ascii="Times New Roman" w:hAnsi="Times New Roman" w:cs="Times New Roman"/>
          <w:sz w:val="28"/>
          <w:szCs w:val="28"/>
        </w:rPr>
        <w:t>paralelas.</w:t>
      </w:r>
      <w:r w:rsidR="00D02270">
        <w:rPr>
          <w:rFonts w:ascii="Times New Roman" w:hAnsi="Times New Roman" w:cs="Times New Roman"/>
          <w:sz w:val="28"/>
          <w:szCs w:val="28"/>
        </w:rPr>
        <w:t xml:space="preserve"> </w:t>
      </w:r>
      <w:r w:rsidRPr="00D02270">
        <w:rPr>
          <w:rFonts w:ascii="Times New Roman" w:hAnsi="Times New Roman" w:cs="Times New Roman"/>
          <w:sz w:val="28"/>
          <w:szCs w:val="28"/>
        </w:rPr>
        <w:t>La primera supone el diseño</w:t>
      </w:r>
      <w:r w:rsidR="00D02270">
        <w:rPr>
          <w:rFonts w:ascii="Times New Roman" w:hAnsi="Times New Roman" w:cs="Times New Roman"/>
          <w:sz w:val="28"/>
          <w:szCs w:val="28"/>
        </w:rPr>
        <w:t xml:space="preserve"> </w:t>
      </w:r>
      <w:r w:rsidRPr="00D02270">
        <w:rPr>
          <w:rFonts w:ascii="Times New Roman" w:hAnsi="Times New Roman" w:cs="Times New Roman"/>
          <w:sz w:val="28"/>
          <w:szCs w:val="28"/>
        </w:rPr>
        <w:t>de los contenedores de información y de la</w:t>
      </w:r>
      <w:r w:rsidR="00D02270">
        <w:rPr>
          <w:rFonts w:ascii="Times New Roman" w:hAnsi="Times New Roman" w:cs="Times New Roman"/>
          <w:sz w:val="28"/>
          <w:szCs w:val="28"/>
        </w:rPr>
        <w:t xml:space="preserve"> </w:t>
      </w:r>
      <w:r w:rsidRPr="00D02270">
        <w:rPr>
          <w:rFonts w:ascii="Times New Roman" w:hAnsi="Times New Roman" w:cs="Times New Roman"/>
          <w:sz w:val="28"/>
          <w:szCs w:val="28"/>
        </w:rPr>
        <w:t>estructura de la base de datos; la segunda está relacionada con el</w:t>
      </w:r>
      <w:r w:rsidR="00D02270">
        <w:rPr>
          <w:rFonts w:ascii="Times New Roman" w:hAnsi="Times New Roman" w:cs="Times New Roman"/>
          <w:sz w:val="28"/>
          <w:szCs w:val="28"/>
        </w:rPr>
        <w:t xml:space="preserve"> </w:t>
      </w:r>
      <w:r w:rsidRPr="00D02270">
        <w:rPr>
          <w:rFonts w:ascii="Times New Roman" w:hAnsi="Times New Roman" w:cs="Times New Roman"/>
          <w:sz w:val="28"/>
          <w:szCs w:val="28"/>
        </w:rPr>
        <w:t>diseño de las aplicaciones de base de datos. Para que esta figura resulte sencilla, no hemos</w:t>
      </w:r>
      <w:r w:rsidR="00D02270">
        <w:rPr>
          <w:rFonts w:ascii="Times New Roman" w:hAnsi="Times New Roman" w:cs="Times New Roman"/>
          <w:sz w:val="28"/>
          <w:szCs w:val="28"/>
        </w:rPr>
        <w:t xml:space="preserve"> </w:t>
      </w:r>
      <w:r w:rsidRPr="00D02270">
        <w:rPr>
          <w:rFonts w:ascii="Times New Roman" w:hAnsi="Times New Roman" w:cs="Times New Roman"/>
          <w:sz w:val="28"/>
          <w:szCs w:val="28"/>
        </w:rPr>
        <w:t>mostrado la mayoría</w:t>
      </w:r>
      <w:r w:rsidR="00D02270">
        <w:rPr>
          <w:rFonts w:ascii="Times New Roman" w:hAnsi="Times New Roman" w:cs="Times New Roman"/>
          <w:sz w:val="28"/>
          <w:szCs w:val="28"/>
        </w:rPr>
        <w:t xml:space="preserve"> </w:t>
      </w:r>
      <w:r w:rsidRPr="00D02270">
        <w:rPr>
          <w:rFonts w:ascii="Times New Roman" w:hAnsi="Times New Roman" w:cs="Times New Roman"/>
          <w:sz w:val="28"/>
          <w:szCs w:val="28"/>
        </w:rPr>
        <w:t>de las interacciones entre los dos lados, aunque las dos actividades están íntimamente entrelazadas. Por</w:t>
      </w:r>
      <w:r w:rsidR="00D02270">
        <w:rPr>
          <w:rFonts w:ascii="Times New Roman" w:hAnsi="Times New Roman" w:cs="Times New Roman"/>
          <w:sz w:val="28"/>
          <w:szCs w:val="28"/>
        </w:rPr>
        <w:t xml:space="preserve"> </w:t>
      </w:r>
      <w:r w:rsidRPr="00D02270">
        <w:rPr>
          <w:rFonts w:ascii="Times New Roman" w:hAnsi="Times New Roman" w:cs="Times New Roman"/>
          <w:sz w:val="28"/>
          <w:szCs w:val="28"/>
        </w:rPr>
        <w:t>ejemplo, analizando las</w:t>
      </w:r>
      <w:r w:rsidR="00D02270">
        <w:rPr>
          <w:rFonts w:ascii="Times New Roman" w:hAnsi="Times New Roman" w:cs="Times New Roman"/>
          <w:sz w:val="28"/>
          <w:szCs w:val="28"/>
        </w:rPr>
        <w:t xml:space="preserve"> </w:t>
      </w:r>
      <w:r w:rsidRPr="00D02270">
        <w:rPr>
          <w:rFonts w:ascii="Times New Roman" w:hAnsi="Times New Roman" w:cs="Times New Roman"/>
          <w:sz w:val="28"/>
          <w:szCs w:val="28"/>
        </w:rPr>
        <w:t>aplicaciones de bases de datos podemos identificar los elementos que se almacenarán</w:t>
      </w:r>
      <w:r w:rsidR="00D02270">
        <w:rPr>
          <w:rFonts w:ascii="Times New Roman" w:hAnsi="Times New Roman" w:cs="Times New Roman"/>
          <w:sz w:val="28"/>
          <w:szCs w:val="28"/>
        </w:rPr>
        <w:t xml:space="preserve"> </w:t>
      </w:r>
      <w:r w:rsidRPr="00D02270">
        <w:rPr>
          <w:rFonts w:ascii="Times New Roman" w:hAnsi="Times New Roman" w:cs="Times New Roman"/>
          <w:sz w:val="28"/>
          <w:szCs w:val="28"/>
        </w:rPr>
        <w:t>en la base de datos. Además, la fase de diseño físico, durante la cual se eligen las estructuras de almacenamiento</w:t>
      </w:r>
      <w:r w:rsidR="00D02270">
        <w:rPr>
          <w:rFonts w:ascii="Times New Roman" w:hAnsi="Times New Roman" w:cs="Times New Roman"/>
          <w:sz w:val="28"/>
          <w:szCs w:val="28"/>
        </w:rPr>
        <w:t xml:space="preserve"> </w:t>
      </w:r>
      <w:r w:rsidRPr="00D02270">
        <w:rPr>
          <w:rFonts w:ascii="Times New Roman" w:hAnsi="Times New Roman" w:cs="Times New Roman"/>
          <w:sz w:val="28"/>
          <w:szCs w:val="28"/>
        </w:rPr>
        <w:t>y las rutas de acceso a los ficheros, depende de las aplicaciones que usarán esos ficheros.</w:t>
      </w:r>
    </w:p>
    <w:p w:rsidR="005F7D52" w:rsidRPr="005F7D52" w:rsidRDefault="005F7D52" w:rsidP="005F7D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p w:rsidR="007C39BB" w:rsidRPr="005F7D52" w:rsidRDefault="00134A7B" w:rsidP="005F7D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  <w:sdt>
        <w:sdtPr>
          <w:rPr>
            <w:rFonts w:ascii="Calibri" w:eastAsia="Times New Roman" w:hAnsi="Calibri" w:cs="Calibri"/>
            <w:b/>
            <w:bCs/>
            <w:color w:val="000000"/>
            <w:lang w:eastAsia="es-MX"/>
          </w:rPr>
          <w:id w:val="615565752"/>
          <w:citation/>
        </w:sdtPr>
        <w:sdtContent>
          <w:r>
            <w:rPr>
              <w:rFonts w:ascii="Calibri" w:eastAsia="Times New Roman" w:hAnsi="Calibri" w:cs="Calibri"/>
              <w:b/>
              <w:bCs/>
              <w:color w:val="000000"/>
              <w:lang w:eastAsia="es-MX"/>
            </w:rPr>
            <w:fldChar w:fldCharType="begin"/>
          </w:r>
          <w:r>
            <w:rPr>
              <w:rFonts w:ascii="Calibri" w:eastAsia="Times New Roman" w:hAnsi="Calibri" w:cs="Calibri"/>
              <w:b/>
              <w:bCs/>
              <w:color w:val="000000"/>
              <w:lang w:eastAsia="es-MX"/>
            </w:rPr>
            <w:instrText xml:space="preserve"> CITATION Ram07 \l 2058 </w:instrTex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es-MX"/>
            </w:rPr>
            <w:fldChar w:fldCharType="separate"/>
          </w:r>
          <w:r w:rsidRPr="00134A7B">
            <w:rPr>
              <w:rFonts w:ascii="Calibri" w:eastAsia="Times New Roman" w:hAnsi="Calibri" w:cs="Calibri"/>
              <w:noProof/>
              <w:color w:val="000000"/>
              <w:lang w:eastAsia="es-MX"/>
            </w:rPr>
            <w:t>(Navathe, 2007)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es-MX"/>
            </w:rPr>
            <w:fldChar w:fldCharType="end"/>
          </w:r>
        </w:sdtContent>
      </w:sdt>
      <w:bookmarkStart w:id="0" w:name="_GoBack"/>
      <w:bookmarkEnd w:id="0"/>
    </w:p>
    <w:sectPr w:rsidR="007C39BB" w:rsidRPr="005F7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4A7B"/>
    <w:rsid w:val="001A6DDB"/>
    <w:rsid w:val="003E2271"/>
    <w:rsid w:val="005F7D52"/>
    <w:rsid w:val="007C39BB"/>
    <w:rsid w:val="008E744A"/>
    <w:rsid w:val="00D0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6D86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52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McG02</b:Tag>
    <b:SourceType>Book</b:SourceType>
    <b:Guid>{17A4ADAA-F220-4719-9998-3FF777A8564D}</b:Guid>
    <b:Author>
      <b:Author>
        <b:NameList>
          <b:Person>
            <b:Last>McGRAW-HILL/INTERAMERICANA DE ESPAÑA</b:Last>
            <b:First>S.</b:First>
            <b:Middle>A. U.</b:Middle>
          </b:Person>
        </b:NameList>
      </b:Author>
    </b:Author>
    <b:Title>FUNDAMENTOS DE BASES DE DATOS.</b:Title>
    <b:Year>2002</b:Year>
    <b:City>Madrid</b:City>
    <b:Publisher>Database System Concepts</b:Publisher>
    <b:RefOrder>2</b:RefOrder>
  </b:Source>
</b:Sources>
</file>

<file path=customXml/itemProps1.xml><?xml version="1.0" encoding="utf-8"?>
<ds:datastoreItem xmlns:ds="http://schemas.openxmlformats.org/officeDocument/2006/customXml" ds:itemID="{537B66DF-3D43-44D7-B478-EFBC7904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3</cp:revision>
  <dcterms:created xsi:type="dcterms:W3CDTF">2019-02-08T14:28:00Z</dcterms:created>
  <dcterms:modified xsi:type="dcterms:W3CDTF">2019-02-08T14:29:00Z</dcterms:modified>
</cp:coreProperties>
</file>