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AC" w:rsidRPr="00665BAC" w:rsidRDefault="00665BAC" w:rsidP="00665BA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kern w:val="36"/>
          <w:sz w:val="32"/>
          <w:szCs w:val="32"/>
          <w:lang w:val="es-ES" w:eastAsia="es-AR"/>
        </w:rPr>
      </w:pPr>
      <w:r w:rsidRPr="00665BAC">
        <w:rPr>
          <w:rFonts w:ascii="Verdana" w:eastAsia="Times New Roman" w:hAnsi="Verdana"/>
          <w:b/>
          <w:bCs/>
          <w:color w:val="004080"/>
          <w:kern w:val="36"/>
          <w:sz w:val="32"/>
          <w:szCs w:val="32"/>
          <w:lang w:val="es-ES" w:eastAsia="es-AR"/>
        </w:rPr>
        <w:t>Pseudocódigo</w:t>
      </w:r>
    </w:p>
    <w:p w:rsidR="00665BAC" w:rsidRPr="00414665" w:rsidRDefault="00665BAC" w:rsidP="00665BAC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es-ES" w:eastAsia="es-AR"/>
        </w:rPr>
      </w:pP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>Pseudocódigo Es un lenguaje artificial e informal que ayuda a los programadores a desarrollar algoritmos. El Pseudocódigo es similar al lenguaje cotidiano; es cómodo y amable con el us</w:t>
      </w:r>
      <w:r w:rsidRPr="00A6315C">
        <w:rPr>
          <w:rFonts w:ascii="Verdana" w:eastAsia="Times New Roman" w:hAnsi="Verdana"/>
          <w:sz w:val="20"/>
          <w:szCs w:val="20"/>
          <w:lang w:val="es-ES" w:eastAsia="es-AR"/>
        </w:rPr>
        <w:t>uario, aunque no es realmente el</w:t>
      </w: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 xml:space="preserve"> verdadero lenguaje de computadora. No se ejecutan en las computadoras </w:t>
      </w:r>
      <w:r w:rsidRPr="00A6315C">
        <w:rPr>
          <w:rFonts w:ascii="Verdana" w:eastAsia="Times New Roman" w:hAnsi="Verdana"/>
          <w:sz w:val="20"/>
          <w:szCs w:val="20"/>
          <w:lang w:val="es-ES" w:eastAsia="es-AR"/>
        </w:rPr>
        <w:t>más</w:t>
      </w: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 xml:space="preserve"> bien sirven para ayudar al programadora razonar un programa antes de intentar escribirlo en algún lenguaje. Un programa ejecutado en Pseudocódigo puede ser fácilmente convertido en un programa en C++, si es que </w:t>
      </w:r>
      <w:r w:rsidRPr="00A6315C">
        <w:rPr>
          <w:rFonts w:ascii="Verdana" w:eastAsia="Times New Roman" w:hAnsi="Verdana"/>
          <w:sz w:val="20"/>
          <w:szCs w:val="20"/>
          <w:lang w:val="es-ES" w:eastAsia="es-AR"/>
        </w:rPr>
        <w:t>está</w:t>
      </w: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 xml:space="preserve"> bien elaborado. Por ejemplo supongamos que la nota para aprobar un examen es de 60. El enunciado en Pseudocódigo sería: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449"/>
      </w:tblGrid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 w:cs="Courier New"/>
                <w:b/>
                <w:sz w:val="20"/>
                <w:lang w:eastAsia="es-AR"/>
              </w:rPr>
              <w:t>Si calificación &gt;= 60 entonces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</w:r>
            <w:r w:rsidRPr="00665BAC">
              <w:rPr>
                <w:rFonts w:ascii="Verdana" w:eastAsia="Times New Roman" w:hAnsi="Verdana" w:cs="Courier New"/>
                <w:b/>
                <w:sz w:val="20"/>
                <w:lang w:eastAsia="es-AR"/>
              </w:rPr>
              <w:t>Mostrar "Aprobado"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</w:r>
            <w:proofErr w:type="spellStart"/>
            <w:r w:rsidRPr="00665BAC">
              <w:rPr>
                <w:rFonts w:ascii="Verdana" w:eastAsia="Times New Roman" w:hAnsi="Verdana" w:cs="Courier New"/>
                <w:b/>
                <w:sz w:val="20"/>
                <w:lang w:eastAsia="es-AR"/>
              </w:rPr>
              <w:t>FinSi</w:t>
            </w:r>
            <w:proofErr w:type="spellEnd"/>
          </w:p>
        </w:tc>
      </w:tr>
    </w:tbl>
    <w:p w:rsidR="00665BAC" w:rsidRPr="00414665" w:rsidRDefault="00665BAC" w:rsidP="00665BAC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es-ES" w:eastAsia="es-AR"/>
        </w:rPr>
      </w:pP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>El mismo enunciado se puede escribir en C++ como: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431"/>
      </w:tblGrid>
      <w:tr w:rsidR="00665BAC" w:rsidRPr="00665BAC" w:rsidTr="00FB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 xml:space="preserve">if ( </w:t>
            </w:r>
            <w:proofErr w:type="spellStart"/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>calif</w:t>
            </w:r>
            <w:proofErr w:type="spellEnd"/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 xml:space="preserve"> &gt;= 60 )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val="en-US" w:eastAsia="es-AR"/>
              </w:rPr>
              <w:br/>
            </w:r>
            <w:proofErr w:type="spellStart"/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>cout</w:t>
            </w:r>
            <w:proofErr w:type="spellEnd"/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 xml:space="preserve"> &lt;&lt; "</w:t>
            </w:r>
            <w:proofErr w:type="spellStart"/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>Aprobado</w:t>
            </w:r>
            <w:proofErr w:type="spellEnd"/>
            <w:r w:rsidRPr="00665BAC">
              <w:rPr>
                <w:rFonts w:ascii="Verdana" w:eastAsia="Times New Roman" w:hAnsi="Verdana" w:cs="Courier New"/>
                <w:b/>
                <w:sz w:val="20"/>
                <w:lang w:val="en-US" w:eastAsia="es-AR"/>
              </w:rPr>
              <w:t>";</w:t>
            </w:r>
          </w:p>
        </w:tc>
      </w:tr>
    </w:tbl>
    <w:p w:rsidR="00665BAC" w:rsidRPr="00414665" w:rsidRDefault="00665BAC" w:rsidP="00665BAC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es-ES" w:eastAsia="es-AR"/>
        </w:rPr>
      </w:pP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>Nótese que la operación de trasladar el Pseudocódigo a código fuente, se lo realiza con el mínimo esfuerzo, no se necesita de un mayor análisis.</w:t>
      </w:r>
    </w:p>
    <w:p w:rsidR="00665BAC" w:rsidRPr="00414665" w:rsidRDefault="00665BAC" w:rsidP="00665BAC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es-ES" w:eastAsia="es-AR"/>
        </w:rPr>
      </w:pP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t>Se puede refinar más aun el algoritmo: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"/>
        <w:gridCol w:w="204"/>
        <w:gridCol w:w="200"/>
        <w:gridCol w:w="7648"/>
        <w:gridCol w:w="204"/>
        <w:gridCol w:w="204"/>
        <w:gridCol w:w="219"/>
      </w:tblGrid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Inicializar variables.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Inicializar los aprobados (aprobados) en 0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Inicializar los reprobados (reprobados) en 0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Inicializar el número de estudiantes (estudiantes) en 0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Introducir las primeras 10 calificaciones y contar los aprobados y los reprobados.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Mientras (</w:t>
            </w:r>
            <w:proofErr w:type="spellStart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while</w:t>
            </w:r>
            <w:proofErr w:type="spellEnd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) el contador estuantes es menor o igual que 10 entonces</w:t>
            </w: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Introducir el siguiente resultado de examen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Si el estudiante aprobó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Sumar 1 a aprobados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Si no</w:t>
            </w: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Sumar 1 a reprobados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proofErr w:type="spellStart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FinSi</w:t>
            </w:r>
            <w:proofErr w:type="spellEnd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Sumar 1 al contador estudiantes</w:t>
            </w:r>
          </w:p>
        </w:tc>
        <w:tc>
          <w:tcPr>
            <w:tcW w:w="0" w:type="auto"/>
            <w:vMerge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proofErr w:type="spellStart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FinMientras</w:t>
            </w:r>
            <w:proofErr w:type="spellEnd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Imprimir un resumen de los resultados de exámenes y decidir si se debe aumentar o no la colegiatura.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Imprimir el número de aprobados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Imprimir el número de reprobados</w:t>
            </w: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br/>
              <w:t>Si estudiantes es más 8 entonces</w:t>
            </w: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Imprimir "Aumentar la colegiatura".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BAC" w:rsidRPr="00414665" w:rsidRDefault="00665BAC" w:rsidP="00FB161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es-AR"/>
              </w:rPr>
            </w:pPr>
            <w:r w:rsidRPr="00414665">
              <w:rPr>
                <w:rFonts w:ascii="Verdana" w:eastAsia="Times New Roman" w:hAnsi="Verdana"/>
                <w:sz w:val="24"/>
                <w:szCs w:val="24"/>
                <w:lang w:eastAsia="es-AR"/>
              </w:rPr>
              <w:t xml:space="preserve">  </w:t>
            </w:r>
          </w:p>
        </w:tc>
      </w:tr>
      <w:tr w:rsidR="00665BAC" w:rsidRPr="00414665" w:rsidTr="00FB161C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665BAC" w:rsidRPr="00665BAC" w:rsidRDefault="00665BAC" w:rsidP="00FB161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es-AR"/>
              </w:rPr>
            </w:pPr>
            <w:proofErr w:type="spellStart"/>
            <w:r w:rsidRPr="00665BAC">
              <w:rPr>
                <w:rFonts w:ascii="Verdana" w:eastAsia="Times New Roman" w:hAnsi="Verdana"/>
                <w:b/>
                <w:sz w:val="20"/>
                <w:szCs w:val="20"/>
                <w:lang w:eastAsia="es-AR"/>
              </w:rPr>
              <w:t>FinSi</w:t>
            </w:r>
            <w:proofErr w:type="spellEnd"/>
          </w:p>
        </w:tc>
      </w:tr>
    </w:tbl>
    <w:p w:rsidR="00665BAC" w:rsidRPr="00414665" w:rsidRDefault="00665BAC" w:rsidP="00665BAC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es-ES" w:eastAsia="es-AR"/>
        </w:rPr>
      </w:pPr>
      <w:r w:rsidRPr="00414665">
        <w:rPr>
          <w:rFonts w:ascii="Verdana" w:eastAsia="Times New Roman" w:hAnsi="Verdana"/>
          <w:sz w:val="20"/>
          <w:szCs w:val="20"/>
          <w:lang w:val="es-ES" w:eastAsia="es-AR"/>
        </w:rPr>
        <w:lastRenderedPageBreak/>
        <w:t>Simplificando el problema queda escrito en Pseudocódigo de la siguiente forma:</w:t>
      </w:r>
    </w:p>
    <w:p w:rsidR="00665BAC" w:rsidRPr="00414665" w:rsidRDefault="00665BAC" w:rsidP="00665BA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4"/>
          <w:szCs w:val="24"/>
          <w:lang w:val="es-ES" w:eastAsia="es-AR"/>
        </w:rPr>
      </w:pPr>
      <w:r>
        <w:rPr>
          <w:rFonts w:ascii="Verdana" w:eastAsia="Times New Roman" w:hAnsi="Verdana"/>
          <w:noProof/>
          <w:sz w:val="20"/>
          <w:szCs w:val="20"/>
          <w:lang w:eastAsia="es-AR"/>
        </w:rPr>
        <w:drawing>
          <wp:inline distT="0" distB="0" distL="0" distR="0">
            <wp:extent cx="3981450" cy="3533775"/>
            <wp:effectExtent l="19050" t="0" r="0" b="0"/>
            <wp:docPr id="4" name="Imagen 2" descr="http://www.geocities.com/inf135/tutc/Imagenes/tema02/pse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geocities.com/inf135/tutc/Imagenes/tema02/pseud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AC" w:rsidRPr="00414665" w:rsidRDefault="00665BAC" w:rsidP="00665BA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4"/>
          <w:szCs w:val="24"/>
          <w:lang w:val="es-ES" w:eastAsia="es-AR"/>
        </w:rPr>
      </w:pPr>
    </w:p>
    <w:p w:rsidR="00665BAC" w:rsidRPr="00A6315C" w:rsidRDefault="00665BAC" w:rsidP="00665BAC">
      <w:pPr>
        <w:rPr>
          <w:rFonts w:ascii="Verdana" w:hAnsi="Verdana"/>
        </w:rPr>
      </w:pPr>
    </w:p>
    <w:p w:rsidR="001072FE" w:rsidRDefault="001072FE"/>
    <w:sectPr w:rsidR="001072FE" w:rsidSect="00665BAC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AC" w:rsidRDefault="00665BAC" w:rsidP="00665BAC">
      <w:pPr>
        <w:spacing w:after="0" w:line="240" w:lineRule="auto"/>
      </w:pPr>
      <w:r>
        <w:separator/>
      </w:r>
    </w:p>
  </w:endnote>
  <w:endnote w:type="continuationSeparator" w:id="0">
    <w:p w:rsidR="00665BAC" w:rsidRDefault="00665BAC" w:rsidP="0066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rostar Regular Extended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AC" w:rsidRDefault="00665BAC" w:rsidP="00665BAC">
      <w:pPr>
        <w:spacing w:after="0" w:line="240" w:lineRule="auto"/>
      </w:pPr>
      <w:r>
        <w:separator/>
      </w:r>
    </w:p>
  </w:footnote>
  <w:footnote w:type="continuationSeparator" w:id="0">
    <w:p w:rsidR="00665BAC" w:rsidRDefault="00665BAC" w:rsidP="0066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AC" w:rsidRPr="0009738D" w:rsidRDefault="00665BAC" w:rsidP="00665BAC">
    <w:pPr>
      <w:pStyle w:val="Encabezado"/>
      <w:jc w:val="center"/>
      <w:rPr>
        <w:rFonts w:ascii="Eurostar Regular Extended" w:hAnsi="Eurostar Regular Extended"/>
        <w:b/>
        <w:bCs/>
        <w:color w:val="993366"/>
        <w:sz w:val="28"/>
      </w:rPr>
    </w:pPr>
    <w:r w:rsidRPr="001A4BB0">
      <w:rPr>
        <w:rFonts w:ascii="Eurostar Regular Extended" w:hAnsi="Eurostar Regular Extended"/>
        <w:b/>
        <w:bCs/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.4pt;margin-top:-7.2pt;width:65pt;height:61.75pt;z-index:-251656192;mso-wrap-edited:f" wrapcoords="-251 0 -251 21392 21600 21392 21600 0 -251 0" filled="t">
          <v:imagedata r:id="rId1" o:title=""/>
        </v:shape>
        <o:OLEObject Type="Embed" ProgID="CorelDRAW.Graphic.10" ShapeID="_x0000_s1025" DrawAspect="Content" ObjectID="_1335201810" r:id="rId2"/>
      </w:pict>
    </w:r>
    <w:r w:rsidRPr="0009738D">
      <w:rPr>
        <w:rFonts w:ascii="Eurostar Regular Extended" w:hAnsi="Eurostar Regular Extended"/>
        <w:b/>
        <w:bCs/>
        <w:color w:val="993366"/>
        <w:sz w:val="28"/>
      </w:rPr>
      <w:t>COLEGIO 113 – P</w:t>
    </w:r>
  </w:p>
  <w:p w:rsidR="00665BAC" w:rsidRDefault="00665BAC" w:rsidP="00665BAC">
    <w:pPr>
      <w:pStyle w:val="Encabezado"/>
      <w:pBdr>
        <w:bottom w:val="single" w:sz="4" w:space="1" w:color="auto"/>
      </w:pBdr>
      <w:jc w:val="center"/>
      <w:rPr>
        <w:rFonts w:ascii="Eurostar Regular Extended" w:hAnsi="Eurostar Regular Extended"/>
        <w:b/>
        <w:bCs/>
        <w:color w:val="993366"/>
        <w:sz w:val="28"/>
      </w:rPr>
    </w:pPr>
    <w:r w:rsidRPr="0009738D">
      <w:rPr>
        <w:rFonts w:ascii="Eurostar Regular Extended" w:hAnsi="Eurostar Regular Extended"/>
        <w:b/>
        <w:bCs/>
        <w:color w:val="993366"/>
        <w:sz w:val="28"/>
      </w:rPr>
      <w:t>TOMÁS ALVA EDISON</w:t>
    </w:r>
  </w:p>
  <w:p w:rsidR="00665BAC" w:rsidRDefault="00665BAC" w:rsidP="00665BAC">
    <w:pPr>
      <w:pStyle w:val="Encabezado"/>
      <w:pBdr>
        <w:bottom w:val="single" w:sz="4" w:space="1" w:color="auto"/>
      </w:pBdr>
      <w:jc w:val="center"/>
      <w:rPr>
        <w:rFonts w:ascii="Eurostar Regular Extended" w:hAnsi="Eurostar Regular Extended"/>
        <w:b/>
        <w:bCs/>
        <w:color w:val="993366"/>
        <w:sz w:val="28"/>
      </w:rPr>
    </w:pPr>
    <w:r>
      <w:rPr>
        <w:rFonts w:ascii="Eurostar Regular Extended" w:hAnsi="Eurostar Regular Extended"/>
        <w:b/>
        <w:bCs/>
        <w:color w:val="993366"/>
        <w:sz w:val="28"/>
      </w:rPr>
      <w:t>PROGRAMACION I</w:t>
    </w:r>
  </w:p>
  <w:p w:rsidR="00665BAC" w:rsidRPr="0009738D" w:rsidRDefault="00665BAC" w:rsidP="00665BAC">
    <w:pPr>
      <w:pStyle w:val="Encabezado"/>
      <w:pBdr>
        <w:bottom w:val="single" w:sz="4" w:space="1" w:color="auto"/>
      </w:pBdr>
      <w:jc w:val="center"/>
      <w:rPr>
        <w:rFonts w:ascii="Eurostar Regular Extended" w:hAnsi="Eurostar Regular Extended"/>
        <w:b/>
        <w:bCs/>
        <w:color w:val="993366"/>
      </w:rPr>
    </w:pPr>
  </w:p>
  <w:p w:rsidR="00665BAC" w:rsidRDefault="00665B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7AD"/>
    <w:multiLevelType w:val="hybridMultilevel"/>
    <w:tmpl w:val="A3068F4E"/>
    <w:lvl w:ilvl="0" w:tplc="666CB9BA">
      <w:start w:val="1"/>
      <w:numFmt w:val="upperRoman"/>
      <w:lvlText w:val="%1-"/>
      <w:lvlJc w:val="left"/>
      <w:pPr>
        <w:ind w:left="1080" w:hanging="720"/>
      </w:pPr>
      <w:rPr>
        <w:rFonts w:ascii="Verdana" w:hAnsi="Verdana" w:hint="default"/>
        <w:color w:val="00408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5BAC"/>
    <w:rsid w:val="001072FE"/>
    <w:rsid w:val="0066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5BAC"/>
  </w:style>
  <w:style w:type="paragraph" w:styleId="Piedepgina">
    <w:name w:val="footer"/>
    <w:basedOn w:val="Normal"/>
    <w:link w:val="PiedepginaCar"/>
    <w:uiPriority w:val="99"/>
    <w:semiHidden/>
    <w:unhideWhenUsed/>
    <w:rsid w:val="00665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BAC"/>
  </w:style>
  <w:style w:type="paragraph" w:styleId="Prrafodelista">
    <w:name w:val="List Paragraph"/>
    <w:basedOn w:val="Normal"/>
    <w:uiPriority w:val="34"/>
    <w:qFormat/>
    <w:rsid w:val="00665B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Office Word</Application>
  <DocSecurity>0</DocSecurity>
  <Lines>13</Lines>
  <Paragraphs>3</Paragraphs>
  <ScaleCrop>false</ScaleCrop>
  <Company>PERSONAL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RODEO</dc:creator>
  <cp:lastModifiedBy>INFORMATICA RODEO</cp:lastModifiedBy>
  <cp:revision>1</cp:revision>
  <dcterms:created xsi:type="dcterms:W3CDTF">2010-05-12T23:36:00Z</dcterms:created>
  <dcterms:modified xsi:type="dcterms:W3CDTF">2010-05-12T23:37:00Z</dcterms:modified>
</cp:coreProperties>
</file>