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1D" w:rsidRDefault="0001248D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 w:rsidR="0036441D">
        <w:rPr>
          <w:rFonts w:ascii="Times New Roman" w:hAnsi="Times New Roman" w:cs="Times New Roman"/>
          <w:sz w:val="24"/>
          <w:szCs w:val="24"/>
        </w:rPr>
        <w:t xml:space="preserve">o </w:t>
      </w:r>
      <w:r w:rsidR="000D60B6">
        <w:rPr>
          <w:rFonts w:ascii="Times New Roman" w:hAnsi="Times New Roman" w:cs="Times New Roman"/>
          <w:sz w:val="24"/>
          <w:szCs w:val="24"/>
        </w:rPr>
        <w:t xml:space="preserve">lógico </w:t>
      </w:r>
    </w:p>
    <w:p w:rsidR="00922D10" w:rsidRPr="0036441D" w:rsidRDefault="000D60B6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0D60B6">
        <w:rPr>
          <w:rFonts w:ascii="Times New Roman" w:hAnsi="Times New Roman" w:cs="Times New Roman"/>
          <w:sz w:val="24"/>
          <w:szCs w:val="24"/>
          <w:lang w:val="es-ES"/>
        </w:rPr>
        <w:t>Entre estos dos extremos hay una clase de modelos de datos representativo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0D60B6">
        <w:rPr>
          <w:rFonts w:ascii="Times New Roman" w:hAnsi="Times New Roman" w:cs="Times New Roman"/>
          <w:sz w:val="24"/>
          <w:szCs w:val="24"/>
          <w:lang w:val="es-ES"/>
        </w:rPr>
        <w:t xml:space="preserve"> que ofrecen conceptos que los usuarios finales pueden entender pero que no están demasiado alejados de cómo se organizan </w:t>
      </w:r>
      <w:r>
        <w:rPr>
          <w:rFonts w:ascii="Times New Roman" w:hAnsi="Times New Roman" w:cs="Times New Roman"/>
          <w:sz w:val="24"/>
          <w:szCs w:val="24"/>
          <w:lang w:val="es-ES"/>
        </w:rPr>
        <w:t>los datos dentro del computador</w:t>
      </w:r>
      <w:r w:rsidR="00F00F49" w:rsidRPr="00F00F4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22D10">
        <w:rPr>
          <w:rFonts w:ascii="Times New Roman" w:hAnsi="Times New Roman" w:cs="Times New Roman"/>
          <w:sz w:val="24"/>
          <w:szCs w:val="24"/>
          <w:lang w:val="es-ES"/>
        </w:rPr>
        <w:t xml:space="preserve">..”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988621214"/>
          <w:citation/>
        </w:sdtPr>
        <w:sdtContent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36441D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Elm072 \p 28 \l 3082 </w:instrTex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36441D" w:rsidRPr="0036441D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(Elmasri &amp; B., 2007, pág. 28)</w: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922D10">
        <w:rPr>
          <w:rFonts w:ascii="Times New Roman" w:hAnsi="Times New Roman" w:cs="Times New Roman"/>
          <w:sz w:val="24"/>
          <w:szCs w:val="24"/>
          <w:lang w:val="es-ES"/>
        </w:rPr>
        <w:t>.</w:t>
      </w:r>
      <w:bookmarkStart w:id="0" w:name="_GoBack"/>
      <w:bookmarkEnd w:id="0"/>
    </w:p>
    <w:sectPr w:rsidR="00922D10" w:rsidRPr="00364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BA" w:rsidRDefault="002A5DBA" w:rsidP="00265A5B">
      <w:pPr>
        <w:spacing w:after="0" w:line="240" w:lineRule="auto"/>
      </w:pPr>
      <w:r>
        <w:separator/>
      </w:r>
    </w:p>
  </w:endnote>
  <w:endnote w:type="continuationSeparator" w:id="0">
    <w:p w:rsidR="002A5DBA" w:rsidRDefault="002A5DBA" w:rsidP="0026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BA" w:rsidRDefault="002A5DBA" w:rsidP="00265A5B">
      <w:pPr>
        <w:spacing w:after="0" w:line="240" w:lineRule="auto"/>
      </w:pPr>
      <w:r>
        <w:separator/>
      </w:r>
    </w:p>
  </w:footnote>
  <w:footnote w:type="continuationSeparator" w:id="0">
    <w:p w:rsidR="002A5DBA" w:rsidRDefault="002A5DBA" w:rsidP="0026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0"/>
    <w:rsid w:val="0001248D"/>
    <w:rsid w:val="000D60B6"/>
    <w:rsid w:val="00265A5B"/>
    <w:rsid w:val="002A5DBA"/>
    <w:rsid w:val="0036441D"/>
    <w:rsid w:val="00497BEE"/>
    <w:rsid w:val="004C3778"/>
    <w:rsid w:val="00922D10"/>
    <w:rsid w:val="00D16F0D"/>
    <w:rsid w:val="00D76FCD"/>
    <w:rsid w:val="00F0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CD541-1D72-442E-916F-36EB4CC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{C67454C8-1909-4A37-A522-6346B79B373F}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09CD984-424C-40C3-B778-E1086232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2</cp:revision>
  <dcterms:created xsi:type="dcterms:W3CDTF">2018-02-13T19:18:00Z</dcterms:created>
  <dcterms:modified xsi:type="dcterms:W3CDTF">2018-02-13T19:18:00Z</dcterms:modified>
</cp:coreProperties>
</file>