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5" w:rsidRPr="003741E5" w:rsidRDefault="003741E5" w:rsidP="003741E5"/>
    <w:p w:rsidR="003741E5" w:rsidRPr="003741E5" w:rsidRDefault="003741E5" w:rsidP="003741E5">
      <w:r w:rsidRPr="003741E5">
        <w:rPr>
          <w:iCs/>
        </w:rPr>
        <w:t xml:space="preserve">d) La justificación de la pertinencia y/o relevancia del tema propuesto. </w:t>
      </w:r>
    </w:p>
    <w:p w:rsidR="00784849" w:rsidRDefault="00362DB8" w:rsidP="00362DB8">
      <w:r>
        <w:t>S</w:t>
      </w:r>
      <w:bookmarkStart w:id="0" w:name="_GoBack"/>
      <w:bookmarkEnd w:id="0"/>
      <w:r w:rsidRPr="00362DB8">
        <w:t>e considera pertinente exponer el comportamiento de los indicadores económico-financieros, los procedimientos, metodologías y sus efectos generales en la gestión del riesgo de liquidez de las instituciones financieras públicas a fin  de conocer la capacidad sus capacidades financieras para poder cumplir con sus obligaciones inmediatas en el corto plazo.</w:t>
      </w:r>
    </w:p>
    <w:sectPr w:rsidR="00784849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5"/>
    <w:rsid w:val="00362DB8"/>
    <w:rsid w:val="003741E5"/>
    <w:rsid w:val="003E4A9B"/>
    <w:rsid w:val="00784849"/>
    <w:rsid w:val="009B584F"/>
    <w:rsid w:val="00A17481"/>
    <w:rsid w:val="00AB43A2"/>
    <w:rsid w:val="00E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534A8-1198-415E-ACB0-F13582F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Marco Erazo</cp:lastModifiedBy>
  <cp:revision>2</cp:revision>
  <dcterms:created xsi:type="dcterms:W3CDTF">2018-06-10T16:23:00Z</dcterms:created>
  <dcterms:modified xsi:type="dcterms:W3CDTF">2018-06-10T16:23:00Z</dcterms:modified>
</cp:coreProperties>
</file>