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8FA" w:rsidRPr="00BF4578" w:rsidRDefault="009558FA" w:rsidP="00C95DB4">
      <w:pPr>
        <w:spacing w:after="0" w:line="480" w:lineRule="auto"/>
        <w:jc w:val="center"/>
        <w:rPr>
          <w:rFonts w:ascii="Arial" w:hAnsi="Arial" w:cs="Arial"/>
          <w:sz w:val="24"/>
          <w:szCs w:val="24"/>
        </w:rPr>
      </w:pPr>
      <w:r w:rsidRPr="00BF4578">
        <w:rPr>
          <w:rFonts w:ascii="Arial" w:hAnsi="Arial" w:cs="Arial"/>
          <w:sz w:val="24"/>
          <w:szCs w:val="24"/>
        </w:rPr>
        <w:t>MAPAS DE CONOCIMIENTO REGIONAL</w:t>
      </w:r>
    </w:p>
    <w:p w:rsidR="009558FA" w:rsidRPr="00BF4578" w:rsidRDefault="009558FA" w:rsidP="00C95DB4">
      <w:pPr>
        <w:spacing w:after="0" w:line="480" w:lineRule="auto"/>
        <w:jc w:val="center"/>
        <w:rPr>
          <w:rFonts w:ascii="Arial" w:hAnsi="Arial" w:cs="Arial"/>
          <w:sz w:val="24"/>
          <w:szCs w:val="24"/>
        </w:rPr>
      </w:pPr>
      <w:r w:rsidRPr="009558FA">
        <w:rPr>
          <w:rFonts w:ascii="Arial" w:hAnsi="Arial" w:cs="Arial"/>
          <w:sz w:val="24"/>
          <w:szCs w:val="24"/>
        </w:rPr>
        <w:t>PASO 2 - EJECUCIÓN, DESCRIBIR LA CATEGORÍA REGIONAL</w:t>
      </w:r>
    </w:p>
    <w:p w:rsidR="009558FA" w:rsidRPr="00BF4578" w:rsidRDefault="009558FA" w:rsidP="00C95DB4">
      <w:pPr>
        <w:spacing w:after="0" w:line="480" w:lineRule="auto"/>
        <w:rPr>
          <w:rFonts w:ascii="Arial" w:hAnsi="Arial" w:cs="Arial"/>
          <w:sz w:val="24"/>
          <w:szCs w:val="24"/>
        </w:rPr>
      </w:pPr>
    </w:p>
    <w:p w:rsidR="009558FA" w:rsidRPr="00BF4578" w:rsidRDefault="009558FA" w:rsidP="00C95DB4">
      <w:pPr>
        <w:spacing w:after="0" w:line="480" w:lineRule="auto"/>
        <w:jc w:val="center"/>
        <w:rPr>
          <w:rFonts w:ascii="Arial" w:hAnsi="Arial" w:cs="Arial"/>
          <w:sz w:val="24"/>
          <w:szCs w:val="24"/>
        </w:rPr>
      </w:pPr>
    </w:p>
    <w:p w:rsidR="009558FA" w:rsidRPr="00BF4578" w:rsidRDefault="009558FA" w:rsidP="00C95DB4">
      <w:pPr>
        <w:spacing w:after="0" w:line="480" w:lineRule="auto"/>
        <w:jc w:val="center"/>
        <w:rPr>
          <w:rFonts w:ascii="Arial" w:hAnsi="Arial" w:cs="Arial"/>
          <w:sz w:val="24"/>
          <w:szCs w:val="24"/>
        </w:rPr>
      </w:pPr>
      <w:r w:rsidRPr="00BF4578">
        <w:rPr>
          <w:rFonts w:ascii="Arial" w:hAnsi="Arial" w:cs="Arial"/>
          <w:sz w:val="24"/>
          <w:szCs w:val="24"/>
        </w:rPr>
        <w:t>PRESENTADO POR:</w:t>
      </w:r>
    </w:p>
    <w:p w:rsidR="009558FA" w:rsidRPr="00BF4578" w:rsidRDefault="009558FA" w:rsidP="00C95DB4">
      <w:pPr>
        <w:spacing w:after="0" w:line="480" w:lineRule="auto"/>
        <w:jc w:val="center"/>
        <w:rPr>
          <w:rFonts w:ascii="Arial" w:hAnsi="Arial" w:cs="Arial"/>
          <w:sz w:val="24"/>
          <w:szCs w:val="24"/>
        </w:rPr>
      </w:pPr>
      <w:r w:rsidRPr="00BF4578">
        <w:rPr>
          <w:rFonts w:ascii="Arial" w:hAnsi="Arial" w:cs="Arial"/>
          <w:sz w:val="24"/>
          <w:szCs w:val="24"/>
        </w:rPr>
        <w:t xml:space="preserve">NILSON JAVIER BECERRA SÁNCHEZ </w:t>
      </w:r>
    </w:p>
    <w:p w:rsidR="009558FA" w:rsidRPr="00BF4578" w:rsidRDefault="009558FA" w:rsidP="00C95DB4">
      <w:pPr>
        <w:spacing w:after="0" w:line="480" w:lineRule="auto"/>
        <w:jc w:val="center"/>
        <w:rPr>
          <w:rFonts w:ascii="Arial" w:hAnsi="Arial" w:cs="Arial"/>
          <w:sz w:val="24"/>
          <w:szCs w:val="24"/>
        </w:rPr>
      </w:pPr>
      <w:r w:rsidRPr="00BF4578">
        <w:rPr>
          <w:rFonts w:ascii="Arial" w:hAnsi="Arial" w:cs="Arial"/>
          <w:sz w:val="24"/>
          <w:szCs w:val="24"/>
        </w:rPr>
        <w:t>Cód. 74.379.668</w:t>
      </w:r>
    </w:p>
    <w:p w:rsidR="009558FA" w:rsidRPr="00BF4578" w:rsidRDefault="009558FA" w:rsidP="00C95DB4">
      <w:pPr>
        <w:spacing w:after="0" w:line="480" w:lineRule="auto"/>
        <w:rPr>
          <w:rFonts w:ascii="Arial" w:hAnsi="Arial" w:cs="Arial"/>
          <w:sz w:val="24"/>
          <w:szCs w:val="24"/>
        </w:rPr>
      </w:pPr>
    </w:p>
    <w:p w:rsidR="009558FA" w:rsidRPr="00BF4578" w:rsidRDefault="009558FA" w:rsidP="00C95DB4">
      <w:pPr>
        <w:spacing w:after="0" w:line="480" w:lineRule="auto"/>
        <w:rPr>
          <w:rFonts w:ascii="Arial" w:hAnsi="Arial" w:cs="Arial"/>
          <w:sz w:val="24"/>
          <w:szCs w:val="24"/>
        </w:rPr>
      </w:pPr>
    </w:p>
    <w:p w:rsidR="009558FA" w:rsidRPr="00BF4578" w:rsidRDefault="009558FA" w:rsidP="00C95DB4">
      <w:pPr>
        <w:spacing w:after="0" w:line="480" w:lineRule="auto"/>
        <w:jc w:val="center"/>
        <w:rPr>
          <w:rFonts w:ascii="Arial" w:hAnsi="Arial" w:cs="Arial"/>
          <w:sz w:val="24"/>
          <w:szCs w:val="24"/>
        </w:rPr>
      </w:pPr>
      <w:r w:rsidRPr="00BF4578">
        <w:rPr>
          <w:rFonts w:ascii="Arial" w:hAnsi="Arial" w:cs="Arial"/>
          <w:sz w:val="24"/>
          <w:szCs w:val="24"/>
        </w:rPr>
        <w:t xml:space="preserve">GRUPO: </w:t>
      </w:r>
    </w:p>
    <w:p w:rsidR="009558FA" w:rsidRPr="00BF4578" w:rsidRDefault="009558FA" w:rsidP="00C95DB4">
      <w:pPr>
        <w:spacing w:after="0" w:line="480" w:lineRule="auto"/>
        <w:jc w:val="center"/>
        <w:rPr>
          <w:rFonts w:ascii="Arial" w:hAnsi="Arial" w:cs="Arial"/>
          <w:sz w:val="24"/>
          <w:szCs w:val="24"/>
        </w:rPr>
      </w:pPr>
      <w:r w:rsidRPr="00BF4578">
        <w:rPr>
          <w:rFonts w:ascii="Arial" w:hAnsi="Arial" w:cs="Arial"/>
          <w:sz w:val="24"/>
          <w:szCs w:val="24"/>
        </w:rPr>
        <w:t>712001_16</w:t>
      </w:r>
    </w:p>
    <w:p w:rsidR="009558FA" w:rsidRPr="00BF4578" w:rsidRDefault="009558FA" w:rsidP="00C95DB4">
      <w:pPr>
        <w:spacing w:after="0" w:line="480" w:lineRule="auto"/>
        <w:rPr>
          <w:rFonts w:ascii="Arial" w:hAnsi="Arial" w:cs="Arial"/>
          <w:sz w:val="24"/>
          <w:szCs w:val="24"/>
        </w:rPr>
      </w:pPr>
    </w:p>
    <w:p w:rsidR="009558FA" w:rsidRPr="00BF4578" w:rsidRDefault="009558FA" w:rsidP="00C95DB4">
      <w:pPr>
        <w:spacing w:after="0" w:line="480" w:lineRule="auto"/>
        <w:jc w:val="center"/>
        <w:rPr>
          <w:rFonts w:ascii="Arial" w:hAnsi="Arial" w:cs="Arial"/>
          <w:sz w:val="24"/>
          <w:szCs w:val="24"/>
        </w:rPr>
      </w:pPr>
    </w:p>
    <w:p w:rsidR="009558FA" w:rsidRPr="00BF4578" w:rsidRDefault="009558FA" w:rsidP="00C95DB4">
      <w:pPr>
        <w:spacing w:after="0" w:line="480" w:lineRule="auto"/>
        <w:jc w:val="center"/>
        <w:rPr>
          <w:rFonts w:ascii="Arial" w:hAnsi="Arial" w:cs="Arial"/>
          <w:sz w:val="24"/>
          <w:szCs w:val="24"/>
        </w:rPr>
      </w:pPr>
      <w:r w:rsidRPr="00BF4578">
        <w:rPr>
          <w:rFonts w:ascii="Arial" w:hAnsi="Arial" w:cs="Arial"/>
          <w:sz w:val="24"/>
          <w:szCs w:val="24"/>
        </w:rPr>
        <w:t>PRESENTADO A:</w:t>
      </w:r>
    </w:p>
    <w:p w:rsidR="009558FA" w:rsidRPr="00BF4578" w:rsidRDefault="009558FA" w:rsidP="00C95DB4">
      <w:pPr>
        <w:spacing w:after="0" w:line="480" w:lineRule="auto"/>
        <w:jc w:val="center"/>
        <w:rPr>
          <w:rFonts w:ascii="Arial" w:hAnsi="Arial" w:cs="Arial"/>
          <w:sz w:val="24"/>
          <w:szCs w:val="24"/>
        </w:rPr>
      </w:pPr>
      <w:r w:rsidRPr="00BF4578">
        <w:rPr>
          <w:rFonts w:ascii="Arial" w:hAnsi="Arial" w:cs="Arial"/>
          <w:sz w:val="24"/>
          <w:szCs w:val="24"/>
        </w:rPr>
        <w:t>PEDRO JUAN GAMERO DE LA ESPRIELLA</w:t>
      </w:r>
    </w:p>
    <w:p w:rsidR="009558FA" w:rsidRPr="00BF4578" w:rsidRDefault="009558FA" w:rsidP="00C95DB4">
      <w:pPr>
        <w:spacing w:after="0" w:line="480" w:lineRule="auto"/>
        <w:rPr>
          <w:rFonts w:ascii="Arial" w:hAnsi="Arial" w:cs="Arial"/>
          <w:sz w:val="24"/>
          <w:szCs w:val="24"/>
        </w:rPr>
      </w:pPr>
    </w:p>
    <w:p w:rsidR="009558FA" w:rsidRPr="00BF4578" w:rsidRDefault="009558FA" w:rsidP="00C95DB4">
      <w:pPr>
        <w:spacing w:after="0" w:line="480" w:lineRule="auto"/>
        <w:rPr>
          <w:rFonts w:ascii="Arial" w:hAnsi="Arial" w:cs="Arial"/>
          <w:sz w:val="24"/>
          <w:szCs w:val="24"/>
        </w:rPr>
      </w:pPr>
    </w:p>
    <w:p w:rsidR="009558FA" w:rsidRPr="00BF4578" w:rsidRDefault="009558FA" w:rsidP="00C95DB4">
      <w:pPr>
        <w:spacing w:after="0" w:line="480" w:lineRule="auto"/>
        <w:rPr>
          <w:rFonts w:ascii="Arial" w:hAnsi="Arial" w:cs="Arial"/>
          <w:sz w:val="24"/>
          <w:szCs w:val="24"/>
        </w:rPr>
      </w:pPr>
    </w:p>
    <w:p w:rsidR="009558FA" w:rsidRPr="00BF4578" w:rsidRDefault="009558FA" w:rsidP="00C95DB4">
      <w:pPr>
        <w:spacing w:after="0" w:line="480" w:lineRule="auto"/>
        <w:rPr>
          <w:rFonts w:ascii="Arial" w:hAnsi="Arial" w:cs="Arial"/>
          <w:sz w:val="24"/>
          <w:szCs w:val="24"/>
        </w:rPr>
      </w:pPr>
    </w:p>
    <w:p w:rsidR="009558FA" w:rsidRPr="00BF4578" w:rsidRDefault="009558FA" w:rsidP="00C95DB4">
      <w:pPr>
        <w:spacing w:after="0" w:line="480" w:lineRule="auto"/>
        <w:jc w:val="center"/>
        <w:rPr>
          <w:rFonts w:ascii="Arial" w:hAnsi="Arial" w:cs="Arial"/>
          <w:sz w:val="24"/>
          <w:szCs w:val="24"/>
        </w:rPr>
      </w:pPr>
      <w:r w:rsidRPr="00BF4578">
        <w:rPr>
          <w:rFonts w:ascii="Arial" w:hAnsi="Arial" w:cs="Arial"/>
          <w:sz w:val="24"/>
          <w:szCs w:val="24"/>
        </w:rPr>
        <w:t xml:space="preserve">UNIVERSIDAD NACIONAL ABIERTA Y A DISTANCIA </w:t>
      </w:r>
      <w:r>
        <w:rPr>
          <w:rFonts w:ascii="Arial" w:hAnsi="Arial" w:cs="Arial"/>
          <w:sz w:val="24"/>
          <w:szCs w:val="24"/>
        </w:rPr>
        <w:t xml:space="preserve">- </w:t>
      </w:r>
      <w:r w:rsidRPr="00BF4578">
        <w:rPr>
          <w:rFonts w:ascii="Arial" w:hAnsi="Arial" w:cs="Arial"/>
          <w:sz w:val="24"/>
          <w:szCs w:val="24"/>
        </w:rPr>
        <w:t>UNAD</w:t>
      </w:r>
    </w:p>
    <w:p w:rsidR="009558FA" w:rsidRDefault="009558FA" w:rsidP="00C95DB4">
      <w:pPr>
        <w:spacing w:after="0" w:line="480" w:lineRule="auto"/>
        <w:jc w:val="center"/>
        <w:rPr>
          <w:rFonts w:ascii="Arial" w:hAnsi="Arial" w:cs="Arial"/>
          <w:sz w:val="24"/>
          <w:szCs w:val="24"/>
        </w:rPr>
      </w:pPr>
      <w:r w:rsidRPr="00BF4578">
        <w:rPr>
          <w:rFonts w:ascii="Arial" w:hAnsi="Arial" w:cs="Arial"/>
          <w:sz w:val="24"/>
          <w:szCs w:val="24"/>
        </w:rPr>
        <w:t>ESCUELA DE CIENCIAS BÁSICAS TECNOLOGÍA E INGENIERÍA</w:t>
      </w:r>
    </w:p>
    <w:p w:rsidR="009558FA" w:rsidRPr="00BF4578" w:rsidRDefault="009558FA" w:rsidP="00C95DB4">
      <w:pPr>
        <w:spacing w:after="0" w:line="480" w:lineRule="auto"/>
        <w:jc w:val="center"/>
        <w:rPr>
          <w:rFonts w:ascii="Arial" w:hAnsi="Arial" w:cs="Arial"/>
          <w:sz w:val="24"/>
          <w:szCs w:val="24"/>
        </w:rPr>
      </w:pPr>
      <w:r>
        <w:rPr>
          <w:rFonts w:ascii="Arial" w:hAnsi="Arial" w:cs="Arial"/>
          <w:sz w:val="24"/>
          <w:szCs w:val="24"/>
        </w:rPr>
        <w:t>PROGRAMA DE INGENIERÍA INDUSTRIAL</w:t>
      </w:r>
    </w:p>
    <w:p w:rsidR="009558FA" w:rsidRPr="00BF4578" w:rsidRDefault="009558FA" w:rsidP="00C95DB4">
      <w:pPr>
        <w:spacing w:after="0" w:line="480" w:lineRule="auto"/>
        <w:jc w:val="center"/>
        <w:rPr>
          <w:rFonts w:ascii="Arial" w:hAnsi="Arial" w:cs="Arial"/>
          <w:sz w:val="24"/>
          <w:szCs w:val="24"/>
        </w:rPr>
      </w:pPr>
      <w:r w:rsidRPr="00BF4578">
        <w:rPr>
          <w:rFonts w:ascii="Arial" w:hAnsi="Arial" w:cs="Arial"/>
          <w:sz w:val="24"/>
          <w:szCs w:val="24"/>
        </w:rPr>
        <w:t xml:space="preserve">CEAD SOGAMOSO </w:t>
      </w:r>
    </w:p>
    <w:p w:rsidR="00431B8E" w:rsidRPr="00C95DB4" w:rsidRDefault="009558FA" w:rsidP="00C95DB4">
      <w:pPr>
        <w:spacing w:after="0" w:line="480" w:lineRule="auto"/>
        <w:jc w:val="center"/>
        <w:rPr>
          <w:rFonts w:ascii="Arial" w:hAnsi="Arial" w:cs="Arial"/>
          <w:sz w:val="24"/>
          <w:szCs w:val="24"/>
        </w:rPr>
      </w:pPr>
      <w:r>
        <w:rPr>
          <w:rFonts w:ascii="Arial" w:hAnsi="Arial" w:cs="Arial"/>
          <w:sz w:val="24"/>
          <w:szCs w:val="24"/>
        </w:rPr>
        <w:t>SEPTIEMBRE</w:t>
      </w:r>
      <w:r w:rsidRPr="00BF4578">
        <w:rPr>
          <w:rFonts w:ascii="Arial" w:hAnsi="Arial" w:cs="Arial"/>
          <w:sz w:val="24"/>
          <w:szCs w:val="24"/>
        </w:rPr>
        <w:t xml:space="preserve"> DE 2019</w:t>
      </w:r>
    </w:p>
    <w:p w:rsidR="009558FA" w:rsidRPr="009C0ECE" w:rsidRDefault="009558FA" w:rsidP="009558FA">
      <w:pPr>
        <w:rPr>
          <w:rFonts w:ascii="Arial" w:hAnsi="Arial" w:cs="Arial"/>
          <w:b/>
          <w:sz w:val="24"/>
          <w:szCs w:val="24"/>
        </w:rPr>
      </w:pPr>
      <w:r w:rsidRPr="009C0ECE">
        <w:rPr>
          <w:rFonts w:ascii="Arial" w:hAnsi="Arial" w:cs="Arial"/>
          <w:b/>
          <w:sz w:val="24"/>
          <w:szCs w:val="24"/>
        </w:rPr>
        <w:lastRenderedPageBreak/>
        <w:t>1. Responde preguntas orientadoras:</w:t>
      </w:r>
    </w:p>
    <w:p w:rsidR="009558FA" w:rsidRDefault="009558FA" w:rsidP="00FE3A34">
      <w:pPr>
        <w:spacing w:line="480" w:lineRule="auto"/>
        <w:jc w:val="both"/>
        <w:rPr>
          <w:rFonts w:ascii="Arial" w:hAnsi="Arial" w:cs="Arial"/>
          <w:b/>
          <w:sz w:val="24"/>
          <w:szCs w:val="24"/>
        </w:rPr>
      </w:pPr>
      <w:r w:rsidRPr="009C0ECE">
        <w:rPr>
          <w:rFonts w:ascii="Arial" w:hAnsi="Arial" w:cs="Arial"/>
          <w:b/>
          <w:sz w:val="24"/>
          <w:szCs w:val="24"/>
        </w:rPr>
        <w:t>a. Bajo que parámetros se puede crear un mapa de conocimiento regional. Ámbito, características, legislación.</w:t>
      </w:r>
    </w:p>
    <w:p w:rsidR="00870525" w:rsidRPr="009C0ECE" w:rsidRDefault="00870525" w:rsidP="008625DD">
      <w:pPr>
        <w:jc w:val="both"/>
        <w:rPr>
          <w:rFonts w:ascii="Arial" w:hAnsi="Arial" w:cs="Arial"/>
          <w:b/>
          <w:sz w:val="24"/>
          <w:szCs w:val="24"/>
        </w:rPr>
      </w:pPr>
    </w:p>
    <w:p w:rsidR="00870525" w:rsidRPr="00870525" w:rsidRDefault="000F189F" w:rsidP="00870525">
      <w:pPr>
        <w:spacing w:line="480" w:lineRule="auto"/>
        <w:jc w:val="both"/>
        <w:rPr>
          <w:rFonts w:ascii="Arial" w:hAnsi="Arial" w:cs="Arial"/>
          <w:sz w:val="24"/>
          <w:szCs w:val="24"/>
        </w:rPr>
      </w:pPr>
      <w:r w:rsidRPr="000F189F">
        <w:rPr>
          <w:rFonts w:ascii="Arial" w:hAnsi="Arial" w:cs="Arial"/>
          <w:b/>
          <w:sz w:val="24"/>
          <w:szCs w:val="24"/>
          <w:u w:val="single"/>
        </w:rPr>
        <w:t xml:space="preserve">García </w:t>
      </w:r>
      <w:r w:rsidR="00870525" w:rsidRPr="000F189F">
        <w:rPr>
          <w:rFonts w:ascii="Arial" w:hAnsi="Arial" w:cs="Arial"/>
          <w:b/>
          <w:sz w:val="24"/>
          <w:szCs w:val="24"/>
          <w:u w:val="single"/>
        </w:rPr>
        <w:t>(2016)</w:t>
      </w:r>
      <w:r w:rsidR="00870525" w:rsidRPr="00870525">
        <w:rPr>
          <w:rFonts w:ascii="Arial" w:hAnsi="Arial" w:cs="Arial"/>
          <w:sz w:val="24"/>
          <w:szCs w:val="24"/>
        </w:rPr>
        <w:t xml:space="preserve"> </w:t>
      </w:r>
      <w:r>
        <w:rPr>
          <w:rFonts w:ascii="Arial" w:hAnsi="Arial" w:cs="Arial"/>
          <w:sz w:val="24"/>
          <w:szCs w:val="24"/>
        </w:rPr>
        <w:t>afirma que</w:t>
      </w:r>
      <w:r w:rsidR="00870525" w:rsidRPr="00870525">
        <w:rPr>
          <w:rFonts w:ascii="Arial" w:hAnsi="Arial" w:cs="Arial"/>
          <w:sz w:val="24"/>
          <w:szCs w:val="24"/>
        </w:rPr>
        <w:t>:</w:t>
      </w:r>
    </w:p>
    <w:p w:rsidR="000F189F" w:rsidRDefault="008625DD" w:rsidP="000F189F">
      <w:pPr>
        <w:spacing w:line="480" w:lineRule="auto"/>
        <w:rPr>
          <w:rFonts w:ascii="Arial" w:hAnsi="Arial" w:cs="Arial"/>
          <w:sz w:val="24"/>
          <w:szCs w:val="24"/>
        </w:rPr>
      </w:pPr>
      <w:r w:rsidRPr="00F160AF">
        <w:rPr>
          <w:rFonts w:ascii="Arial" w:hAnsi="Arial" w:cs="Arial"/>
          <w:sz w:val="24"/>
          <w:szCs w:val="24"/>
        </w:rPr>
        <w:t xml:space="preserve">Si nos centramos en los mapas de conocimiento regional, en relación a la estructura y sus componentes se tienen en cuenta, en primer lugar, las funciones y los procesos regionales vinculados con la innovación y el desarrollo del territorio y, en segundo lugar, el contenido de los mapas que reflejen los componentes involucrados. </w:t>
      </w:r>
      <w:r w:rsidR="005A3C72">
        <w:rPr>
          <w:rFonts w:ascii="Arial" w:hAnsi="Arial" w:cs="Arial"/>
          <w:b/>
          <w:sz w:val="24"/>
          <w:szCs w:val="24"/>
          <w:u w:val="single"/>
        </w:rPr>
        <w:t>(p</w:t>
      </w:r>
      <w:r w:rsidR="000F189F" w:rsidRPr="000F189F">
        <w:rPr>
          <w:rFonts w:ascii="Arial" w:hAnsi="Arial" w:cs="Arial"/>
          <w:b/>
          <w:sz w:val="24"/>
          <w:szCs w:val="24"/>
          <w:u w:val="single"/>
        </w:rPr>
        <w:t>. 2).</w:t>
      </w:r>
      <w:bookmarkStart w:id="0" w:name="_GoBack"/>
      <w:bookmarkEnd w:id="0"/>
    </w:p>
    <w:p w:rsidR="000F189F" w:rsidRDefault="000F189F" w:rsidP="000F189F">
      <w:pPr>
        <w:spacing w:line="480" w:lineRule="auto"/>
        <w:rPr>
          <w:rFonts w:ascii="Arial" w:hAnsi="Arial" w:cs="Arial"/>
          <w:sz w:val="24"/>
          <w:szCs w:val="24"/>
        </w:rPr>
      </w:pPr>
      <w:r w:rsidRPr="000F189F">
        <w:rPr>
          <w:rFonts w:ascii="Arial" w:hAnsi="Arial" w:cs="Arial"/>
          <w:sz w:val="24"/>
          <w:szCs w:val="24"/>
        </w:rPr>
        <w:t>Para ampliar lo</w:t>
      </w:r>
      <w:r>
        <w:rPr>
          <w:rFonts w:ascii="Arial" w:hAnsi="Arial" w:cs="Arial"/>
          <w:sz w:val="24"/>
          <w:szCs w:val="24"/>
        </w:rPr>
        <w:t xml:space="preserve"> anterior, debe entenderse que:</w:t>
      </w:r>
    </w:p>
    <w:p w:rsidR="00F160AF" w:rsidRDefault="008625DD" w:rsidP="000F189F">
      <w:pPr>
        <w:spacing w:line="480" w:lineRule="auto"/>
        <w:rPr>
          <w:rFonts w:ascii="Arial" w:hAnsi="Arial" w:cs="Arial"/>
          <w:sz w:val="24"/>
          <w:szCs w:val="24"/>
        </w:rPr>
      </w:pPr>
      <w:r w:rsidRPr="00F160AF">
        <w:rPr>
          <w:rFonts w:ascii="Arial" w:hAnsi="Arial" w:cs="Arial"/>
          <w:sz w:val="24"/>
          <w:szCs w:val="24"/>
        </w:rPr>
        <w:t xml:space="preserve">Los componentes de los mapas son: a) los actores que tienen un papel importante en el territorio (organizaciones, administraciones públicas, empresas, clusters, universidades, institutos de investigación...); b) las estructuras relacionadas con la economía territorial (tipos de sectores existentes y su tamaño, perfil de las empresas que desarrollan su actividad, estructuras cuya actividad está adscrita a la política o la administración pública...); c) las infraestructuras implantadas en el territorio, tanto técnicas (agua, energía y transporte), sociales (sanidad, educación, cultura), financieras (banca, ayudas gubernamentales, venture capital) y políticas, como de los sistemas de ciencia y de innovación; d) los recursos relacionados con diferentes aspectos como, por ejemplo, la naturaleza (geología, agua, aire, clima, capacidad de acumulación), las materias primas (minerales, vegetación, animales), la demografía (habitantes y estructura), la capacidad de innovación </w:t>
      </w:r>
      <w:r w:rsidRPr="00F160AF">
        <w:rPr>
          <w:rFonts w:ascii="Arial" w:hAnsi="Arial" w:cs="Arial"/>
          <w:sz w:val="24"/>
          <w:szCs w:val="24"/>
        </w:rPr>
        <w:lastRenderedPageBreak/>
        <w:t xml:space="preserve">regional o el capital intelectual, y e) el capital social, especialmente las relaciones en las cuales tiene lugar el intercambio y la generación de conocimiento como base para innovar, pero también los aspectos vinculados con este intercambio (vínculos y configuración de las redes, códigos y lenguajes compartidos, confianza, normas, y obligaciones) </w:t>
      </w:r>
    </w:p>
    <w:p w:rsidR="000F189F" w:rsidRPr="000F189F" w:rsidRDefault="000F189F" w:rsidP="000F189F">
      <w:pPr>
        <w:spacing w:line="480" w:lineRule="auto"/>
        <w:rPr>
          <w:rFonts w:ascii="Arial" w:hAnsi="Arial" w:cs="Arial"/>
          <w:b/>
          <w:sz w:val="24"/>
          <w:szCs w:val="24"/>
          <w:u w:val="single"/>
        </w:rPr>
      </w:pPr>
      <w:r w:rsidRPr="000F189F">
        <w:rPr>
          <w:rFonts w:ascii="Arial" w:hAnsi="Arial" w:cs="Arial"/>
          <w:b/>
          <w:sz w:val="24"/>
          <w:szCs w:val="24"/>
          <w:u w:val="single"/>
        </w:rPr>
        <w:t>(García, 2016, p. 2).</w:t>
      </w:r>
    </w:p>
    <w:p w:rsidR="009C0ECE" w:rsidRDefault="009C0ECE" w:rsidP="00E34A81">
      <w:pPr>
        <w:jc w:val="both"/>
        <w:rPr>
          <w:rFonts w:ascii="Arial" w:hAnsi="Arial" w:cs="Arial"/>
          <w:sz w:val="24"/>
          <w:szCs w:val="24"/>
        </w:rPr>
      </w:pPr>
    </w:p>
    <w:p w:rsidR="009C0ECE" w:rsidRPr="009C0ECE" w:rsidRDefault="009C0ECE" w:rsidP="00E34A81">
      <w:pPr>
        <w:jc w:val="both"/>
        <w:rPr>
          <w:rFonts w:ascii="Arial" w:hAnsi="Arial" w:cs="Arial"/>
          <w:sz w:val="24"/>
          <w:szCs w:val="24"/>
        </w:rPr>
      </w:pPr>
    </w:p>
    <w:p w:rsidR="009558FA" w:rsidRDefault="009558FA" w:rsidP="009558FA">
      <w:pPr>
        <w:rPr>
          <w:rFonts w:ascii="Arial" w:hAnsi="Arial" w:cs="Arial"/>
          <w:b/>
          <w:sz w:val="24"/>
          <w:szCs w:val="24"/>
        </w:rPr>
      </w:pPr>
      <w:r w:rsidRPr="009C0ECE">
        <w:rPr>
          <w:rFonts w:ascii="Arial" w:hAnsi="Arial" w:cs="Arial"/>
          <w:b/>
          <w:sz w:val="24"/>
          <w:szCs w:val="24"/>
        </w:rPr>
        <w:t>b. ¿Cuál es la base para elaborar el mapa de conocimiento regional?</w:t>
      </w:r>
    </w:p>
    <w:p w:rsidR="00FE3A34" w:rsidRPr="009C0ECE" w:rsidRDefault="00FE3A34" w:rsidP="009558FA">
      <w:pPr>
        <w:rPr>
          <w:rFonts w:ascii="Arial" w:hAnsi="Arial" w:cs="Arial"/>
          <w:b/>
          <w:sz w:val="24"/>
          <w:szCs w:val="24"/>
        </w:rPr>
      </w:pPr>
    </w:p>
    <w:p w:rsidR="00903587" w:rsidRPr="009C0ECE" w:rsidRDefault="00903587" w:rsidP="00FE3A34">
      <w:pPr>
        <w:spacing w:line="480" w:lineRule="auto"/>
        <w:jc w:val="both"/>
        <w:rPr>
          <w:rFonts w:ascii="Arial" w:hAnsi="Arial" w:cs="Arial"/>
          <w:sz w:val="24"/>
          <w:szCs w:val="24"/>
        </w:rPr>
      </w:pPr>
      <w:r w:rsidRPr="009C0ECE">
        <w:rPr>
          <w:rFonts w:ascii="Arial" w:hAnsi="Arial" w:cs="Arial"/>
          <w:sz w:val="24"/>
          <w:szCs w:val="24"/>
        </w:rPr>
        <w:t>Los mapas de conocimiento regional son un instrumento de investigación para conocer mejor nuestras comunidades y nuestras regiones, esta política de desarrollo regional diseñada por la Universidad Nacional Abierta y a Distancia, busca la inducción y la equidad regional y consolida a las regiones como entes gestores de su propio desarrollo, sobre la base del fortalecimiento, de la descentralización, la integración dirigida por la UNAD y sus estudiantes con la ayuda de diversas organizaciones que apoyan las causas regionales.</w:t>
      </w:r>
    </w:p>
    <w:p w:rsidR="00903587" w:rsidRPr="009C0ECE" w:rsidRDefault="00903587" w:rsidP="00FE3A34">
      <w:pPr>
        <w:spacing w:line="480" w:lineRule="auto"/>
        <w:jc w:val="both"/>
        <w:rPr>
          <w:rFonts w:ascii="Arial" w:hAnsi="Arial" w:cs="Arial"/>
          <w:sz w:val="24"/>
          <w:szCs w:val="24"/>
        </w:rPr>
      </w:pPr>
      <w:r w:rsidRPr="009C0ECE">
        <w:rPr>
          <w:rFonts w:ascii="Arial" w:hAnsi="Arial" w:cs="Arial"/>
          <w:sz w:val="24"/>
          <w:szCs w:val="24"/>
        </w:rPr>
        <w:t>Para el diseño de estos mapas de conocimiento regional se requiere de una investigación exhaustiva orientada a conocer las distintas problemáticas de la región a través de los diferentes métodos de recolección de información como encuestas, entrevistas o historias de vida.</w:t>
      </w:r>
    </w:p>
    <w:p w:rsidR="00903587" w:rsidRDefault="00903587" w:rsidP="009558FA"/>
    <w:p w:rsidR="007F0C82" w:rsidRDefault="007F0C82" w:rsidP="009558FA">
      <w:pPr>
        <w:rPr>
          <w:b/>
        </w:rPr>
        <w:sectPr w:rsidR="007F0C82">
          <w:pgSz w:w="12240" w:h="15840"/>
          <w:pgMar w:top="1417" w:right="1701" w:bottom="1417" w:left="1701" w:header="708" w:footer="708" w:gutter="0"/>
          <w:cols w:space="708"/>
          <w:docGrid w:linePitch="360"/>
        </w:sectPr>
      </w:pPr>
    </w:p>
    <w:p w:rsidR="009558FA" w:rsidRPr="005A3C72" w:rsidRDefault="009558FA" w:rsidP="009558FA">
      <w:pPr>
        <w:rPr>
          <w:rFonts w:ascii="Arial" w:hAnsi="Arial" w:cs="Arial"/>
          <w:b/>
          <w:sz w:val="24"/>
        </w:rPr>
      </w:pPr>
      <w:r w:rsidRPr="005A3C72">
        <w:rPr>
          <w:rFonts w:ascii="Arial" w:hAnsi="Arial" w:cs="Arial"/>
          <w:b/>
          <w:sz w:val="24"/>
        </w:rPr>
        <w:lastRenderedPageBreak/>
        <w:t xml:space="preserve">Luego de responder las preguntas orientadoras se procede a desarrollar el punto 2 y siguiente. </w:t>
      </w:r>
    </w:p>
    <w:p w:rsidR="009558FA" w:rsidRPr="005A3C72" w:rsidRDefault="009558FA" w:rsidP="009558FA">
      <w:pPr>
        <w:rPr>
          <w:rFonts w:ascii="Arial" w:hAnsi="Arial" w:cs="Arial"/>
          <w:b/>
          <w:sz w:val="24"/>
        </w:rPr>
      </w:pPr>
      <w:r w:rsidRPr="005A3C72">
        <w:rPr>
          <w:rFonts w:ascii="Arial" w:hAnsi="Arial" w:cs="Arial"/>
          <w:b/>
          <w:sz w:val="24"/>
        </w:rPr>
        <w:t>2. El estudiante debe realizar una investigación que le servirá de base para la elaboración de un mapa regional, en ella hará una descripción general de la región en la que vive, debe especificar las características del   lugar o localidad en el que reside para ello debe tener en cuenta los siguientes ámbitos de indagación:</w:t>
      </w:r>
    </w:p>
    <w:p w:rsidR="00870525" w:rsidRPr="005A3C72" w:rsidRDefault="009558FA" w:rsidP="009558FA">
      <w:pPr>
        <w:rPr>
          <w:rFonts w:ascii="Arial" w:hAnsi="Arial" w:cs="Arial"/>
          <w:b/>
          <w:sz w:val="24"/>
        </w:rPr>
      </w:pPr>
      <w:r w:rsidRPr="005A3C72">
        <w:rPr>
          <w:rFonts w:ascii="Arial" w:hAnsi="Arial" w:cs="Arial"/>
          <w:b/>
          <w:sz w:val="24"/>
        </w:rPr>
        <w:t>a.</w:t>
      </w:r>
      <w:r w:rsidRPr="005A3C72">
        <w:rPr>
          <w:rFonts w:ascii="Arial" w:hAnsi="Arial" w:cs="Arial"/>
          <w:b/>
          <w:sz w:val="24"/>
        </w:rPr>
        <w:tab/>
        <w:t xml:space="preserve">Educación </w:t>
      </w:r>
      <w:r w:rsidR="00221250" w:rsidRPr="005A3C72">
        <w:rPr>
          <w:rFonts w:ascii="Arial" w:hAnsi="Arial" w:cs="Arial"/>
          <w:b/>
          <w:sz w:val="24"/>
        </w:rPr>
        <w:t xml:space="preserve">    -      </w:t>
      </w:r>
      <w:r w:rsidRPr="005A3C72">
        <w:rPr>
          <w:rFonts w:ascii="Arial" w:hAnsi="Arial" w:cs="Arial"/>
          <w:b/>
          <w:sz w:val="24"/>
        </w:rPr>
        <w:t>b.</w:t>
      </w:r>
      <w:r w:rsidRPr="005A3C72">
        <w:rPr>
          <w:rFonts w:ascii="Arial" w:hAnsi="Arial" w:cs="Arial"/>
          <w:b/>
          <w:sz w:val="24"/>
        </w:rPr>
        <w:tab/>
        <w:t>Aspecto económico</w:t>
      </w:r>
      <w:r w:rsidR="00221250" w:rsidRPr="005A3C72">
        <w:rPr>
          <w:rFonts w:ascii="Arial" w:hAnsi="Arial" w:cs="Arial"/>
          <w:b/>
          <w:sz w:val="24"/>
        </w:rPr>
        <w:t xml:space="preserve">      -       </w:t>
      </w:r>
      <w:r w:rsidRPr="005A3C72">
        <w:rPr>
          <w:rFonts w:ascii="Arial" w:hAnsi="Arial" w:cs="Arial"/>
          <w:b/>
          <w:sz w:val="24"/>
        </w:rPr>
        <w:t>c.</w:t>
      </w:r>
      <w:r w:rsidRPr="005A3C72">
        <w:rPr>
          <w:rFonts w:ascii="Arial" w:hAnsi="Arial" w:cs="Arial"/>
          <w:b/>
          <w:sz w:val="24"/>
        </w:rPr>
        <w:tab/>
        <w:t xml:space="preserve">Conflictos </w:t>
      </w:r>
      <w:r w:rsidR="00221250" w:rsidRPr="005A3C72">
        <w:rPr>
          <w:rFonts w:ascii="Arial" w:hAnsi="Arial" w:cs="Arial"/>
          <w:b/>
          <w:sz w:val="24"/>
        </w:rPr>
        <w:t xml:space="preserve">     -          </w:t>
      </w:r>
      <w:r w:rsidRPr="005A3C72">
        <w:rPr>
          <w:rFonts w:ascii="Arial" w:hAnsi="Arial" w:cs="Arial"/>
          <w:b/>
          <w:sz w:val="24"/>
        </w:rPr>
        <w:t>d.</w:t>
      </w:r>
      <w:r w:rsidRPr="005A3C72">
        <w:rPr>
          <w:rFonts w:ascii="Arial" w:hAnsi="Arial" w:cs="Arial"/>
          <w:b/>
          <w:sz w:val="24"/>
        </w:rPr>
        <w:tab/>
        <w:t>Organización Social</w:t>
      </w:r>
    </w:p>
    <w:p w:rsidR="00221250" w:rsidRDefault="00221250" w:rsidP="009558FA">
      <w:pPr>
        <w:rPr>
          <w:b/>
        </w:rPr>
      </w:pPr>
    </w:p>
    <w:tbl>
      <w:tblPr>
        <w:tblStyle w:val="Tablaconcuadrcula"/>
        <w:tblW w:w="0" w:type="auto"/>
        <w:tblLook w:val="04A0" w:firstRow="1" w:lastRow="0" w:firstColumn="1" w:lastColumn="0" w:noHBand="0" w:noVBand="1"/>
      </w:tblPr>
      <w:tblGrid>
        <w:gridCol w:w="3397"/>
        <w:gridCol w:w="3969"/>
        <w:gridCol w:w="2379"/>
        <w:gridCol w:w="3249"/>
      </w:tblGrid>
      <w:tr w:rsidR="007F0C82" w:rsidTr="007F0C82">
        <w:trPr>
          <w:trHeight w:val="395"/>
        </w:trPr>
        <w:tc>
          <w:tcPr>
            <w:tcW w:w="12994" w:type="dxa"/>
            <w:gridSpan w:val="4"/>
          </w:tcPr>
          <w:p w:rsidR="007F0C82" w:rsidRDefault="007F0C82" w:rsidP="007F0C82">
            <w:pPr>
              <w:jc w:val="center"/>
              <w:rPr>
                <w:b/>
              </w:rPr>
            </w:pPr>
            <w:r>
              <w:rPr>
                <w:b/>
              </w:rPr>
              <w:t>MUNICIPIO DE SOGAMOSO, BOYACÁ</w:t>
            </w:r>
          </w:p>
        </w:tc>
      </w:tr>
      <w:tr w:rsidR="00221250" w:rsidTr="007F0C82">
        <w:trPr>
          <w:trHeight w:val="395"/>
        </w:trPr>
        <w:tc>
          <w:tcPr>
            <w:tcW w:w="12994" w:type="dxa"/>
            <w:gridSpan w:val="4"/>
          </w:tcPr>
          <w:p w:rsidR="00221250" w:rsidRDefault="00221250" w:rsidP="007F0C82">
            <w:pPr>
              <w:jc w:val="center"/>
              <w:rPr>
                <w:b/>
              </w:rPr>
            </w:pPr>
            <w:r>
              <w:rPr>
                <w:b/>
              </w:rPr>
              <w:t>DESCRIPCIÓN ÁMBITOS DE INDAGACIÓN</w:t>
            </w:r>
          </w:p>
        </w:tc>
      </w:tr>
      <w:tr w:rsidR="007F0C82" w:rsidTr="001432E6">
        <w:tc>
          <w:tcPr>
            <w:tcW w:w="3397" w:type="dxa"/>
          </w:tcPr>
          <w:p w:rsidR="007F0C82" w:rsidRDefault="007F0C82" w:rsidP="00AD7496">
            <w:pPr>
              <w:jc w:val="center"/>
              <w:rPr>
                <w:b/>
              </w:rPr>
            </w:pPr>
            <w:r>
              <w:rPr>
                <w:b/>
              </w:rPr>
              <w:t>EDUCACIÓN</w:t>
            </w:r>
          </w:p>
        </w:tc>
        <w:tc>
          <w:tcPr>
            <w:tcW w:w="3969" w:type="dxa"/>
          </w:tcPr>
          <w:p w:rsidR="007F0C82" w:rsidRDefault="007F0C82" w:rsidP="00AD7496">
            <w:pPr>
              <w:jc w:val="center"/>
              <w:rPr>
                <w:b/>
              </w:rPr>
            </w:pPr>
            <w:r>
              <w:rPr>
                <w:b/>
              </w:rPr>
              <w:t>ASPECTO ECONÓMICO</w:t>
            </w:r>
          </w:p>
        </w:tc>
        <w:tc>
          <w:tcPr>
            <w:tcW w:w="2379" w:type="dxa"/>
          </w:tcPr>
          <w:p w:rsidR="007F0C82" w:rsidRDefault="007F0C82" w:rsidP="00AD7496">
            <w:pPr>
              <w:jc w:val="center"/>
              <w:rPr>
                <w:b/>
              </w:rPr>
            </w:pPr>
            <w:r>
              <w:rPr>
                <w:b/>
              </w:rPr>
              <w:t>CONFLICTOS</w:t>
            </w:r>
          </w:p>
        </w:tc>
        <w:tc>
          <w:tcPr>
            <w:tcW w:w="3249" w:type="dxa"/>
          </w:tcPr>
          <w:p w:rsidR="007F0C82" w:rsidRDefault="007F0C82" w:rsidP="00AD7496">
            <w:pPr>
              <w:jc w:val="center"/>
              <w:rPr>
                <w:b/>
              </w:rPr>
            </w:pPr>
            <w:r>
              <w:rPr>
                <w:b/>
              </w:rPr>
              <w:t>ORGANIZACIÓN SOCIAL</w:t>
            </w:r>
          </w:p>
        </w:tc>
      </w:tr>
      <w:tr w:rsidR="007F0C82" w:rsidTr="001432E6">
        <w:tc>
          <w:tcPr>
            <w:tcW w:w="3397" w:type="dxa"/>
          </w:tcPr>
          <w:p w:rsidR="00AD7496" w:rsidRDefault="007F0C82" w:rsidP="009558FA">
            <w:r w:rsidRPr="00AD7496">
              <w:t>La educación en Sogamoso, está dada desde los nieles de formación integral en pre jardín, jardín, educación básica primaria y secundaria; se encuentra regulada y administrada por la Administración Municipal, a través de la Secretaría de Educación</w:t>
            </w:r>
            <w:r w:rsidR="00AD7496">
              <w:t xml:space="preserve"> y a la fecha se encuentra certificada ante el Ministerio de Educación. De igual manera en el municipio se cuentan con los servicios de educación complementaria, comprendiendo todos los niveles institucionales como lo son:</w:t>
            </w:r>
          </w:p>
          <w:p w:rsidR="007F0C82" w:rsidRPr="00AD7496" w:rsidRDefault="00AD7496" w:rsidP="009558FA">
            <w:r>
              <w:t xml:space="preserve">Formación técnica, tecnológica, universitaria en los niveles de pregrado y posgrado. </w:t>
            </w:r>
          </w:p>
        </w:tc>
        <w:tc>
          <w:tcPr>
            <w:tcW w:w="3969" w:type="dxa"/>
          </w:tcPr>
          <w:p w:rsidR="001432E6" w:rsidRPr="001432E6" w:rsidRDefault="00AD7496" w:rsidP="009558FA">
            <w:r w:rsidRPr="001432E6">
              <w:t>La economía del municipio está sustentada en la industria siderúrgica y en empresas dedicadas a la fabricación y producción de materiales de construcción, la explotación minera (calizas, mármol, carbón) y en la agricultura, el comercio formal</w:t>
            </w:r>
            <w:r w:rsidR="001432E6" w:rsidRPr="001432E6">
              <w:t xml:space="preserve"> de productos y servicios y el trabajo independiente son pilares fundamentales en la generación de empleo y en la que gran parte de los sogamoseños se desempeñan y desenvuelven económicamente. </w:t>
            </w:r>
            <w:r w:rsidR="001432E6">
              <w:t>Desde la parte pública, la administración muncipal cuenta con recursos provenientes de la nación, sistemas generales de participación, recursos del departamento, recursos propios y de regalías.</w:t>
            </w:r>
          </w:p>
        </w:tc>
        <w:tc>
          <w:tcPr>
            <w:tcW w:w="2379" w:type="dxa"/>
          </w:tcPr>
          <w:p w:rsidR="007F0C82" w:rsidRPr="00C437EF" w:rsidRDefault="00C437EF" w:rsidP="009558FA">
            <w:r w:rsidRPr="00C437EF">
              <w:t>El municipio se caracteriza por ser una región tranquila, el principal conflicto que sufre el municipio es la contaminación generada por las diversas empresas que allí fabrican sus productos, siendo el sector alfarero el que mayor contaminación gene</w:t>
            </w:r>
            <w:r w:rsidR="00BF4950">
              <w:t xml:space="preserve">ra, convirtiendo este conflicto en </w:t>
            </w:r>
            <w:r w:rsidR="00BF4950" w:rsidRPr="00BF4950">
              <w:t>un factor de salud pública, sino, ante todo, un problema social de grandes magnitudes.</w:t>
            </w:r>
          </w:p>
        </w:tc>
        <w:tc>
          <w:tcPr>
            <w:tcW w:w="3249" w:type="dxa"/>
          </w:tcPr>
          <w:p w:rsidR="007F0C82" w:rsidRPr="005B1E7E" w:rsidRDefault="005B1E7E" w:rsidP="00402841">
            <w:r w:rsidRPr="005B1E7E">
              <w:t>Sogamoso</w:t>
            </w:r>
            <w:r w:rsidR="007566E0">
              <w:t xml:space="preserve"> está organizada a través de Juntas de Acción Comunal, juntas de Vivienda Comunitaria y Consejos Comunales en primer grado y en segundo grado cuenta con una Asociación de Juntas de Acción comunal, llamada ASOCOMUNAL, que se encarga de </w:t>
            </w:r>
            <w:r w:rsidR="00402841">
              <w:t xml:space="preserve">liderar todas las acciones encaminadas por los distintos sectores (barrios) del municipio hacía el progreso del mismo y el bienestar de quienes allí habitan, </w:t>
            </w:r>
            <w:r w:rsidR="007566E0">
              <w:t xml:space="preserve">fomentar procesos de participación comunitaria con mejoramiento continuo </w:t>
            </w:r>
            <w:r w:rsidR="00402841">
              <w:t>en pro del desarrollo del municipio.</w:t>
            </w:r>
          </w:p>
        </w:tc>
      </w:tr>
    </w:tbl>
    <w:p w:rsidR="001432E6" w:rsidRDefault="001432E6" w:rsidP="00AD7496">
      <w:pPr>
        <w:jc w:val="center"/>
        <w:rPr>
          <w:rFonts w:ascii="Arial" w:hAnsi="Arial" w:cs="Arial"/>
          <w:b/>
          <w:sz w:val="24"/>
          <w:szCs w:val="24"/>
        </w:rPr>
        <w:sectPr w:rsidR="001432E6" w:rsidSect="007F0C82">
          <w:pgSz w:w="15840" w:h="12240" w:orient="landscape"/>
          <w:pgMar w:top="1701" w:right="1418" w:bottom="1701" w:left="1418" w:header="709" w:footer="709" w:gutter="0"/>
          <w:cols w:space="708"/>
          <w:docGrid w:linePitch="360"/>
        </w:sectPr>
      </w:pPr>
    </w:p>
    <w:p w:rsidR="00870525" w:rsidRPr="00870525" w:rsidRDefault="00870525" w:rsidP="00AD7496">
      <w:pPr>
        <w:jc w:val="center"/>
        <w:rPr>
          <w:rFonts w:ascii="Arial" w:hAnsi="Arial" w:cs="Arial"/>
          <w:b/>
          <w:sz w:val="24"/>
          <w:szCs w:val="24"/>
        </w:rPr>
      </w:pPr>
      <w:r w:rsidRPr="00870525">
        <w:rPr>
          <w:rFonts w:ascii="Arial" w:hAnsi="Arial" w:cs="Arial"/>
          <w:b/>
          <w:sz w:val="24"/>
          <w:szCs w:val="24"/>
        </w:rPr>
        <w:lastRenderedPageBreak/>
        <w:t>REFERENCIAS BIBLIOGRÁFICAS</w:t>
      </w:r>
    </w:p>
    <w:p w:rsidR="00870525" w:rsidRPr="00870525" w:rsidRDefault="00870525" w:rsidP="009558FA">
      <w:pPr>
        <w:rPr>
          <w:rFonts w:ascii="Arial" w:hAnsi="Arial" w:cs="Arial"/>
          <w:b/>
          <w:sz w:val="24"/>
          <w:szCs w:val="24"/>
        </w:rPr>
      </w:pPr>
    </w:p>
    <w:p w:rsidR="00870525" w:rsidRPr="00870525" w:rsidRDefault="0036161E" w:rsidP="00C30C2A">
      <w:pPr>
        <w:ind w:left="284" w:hanging="284"/>
        <w:jc w:val="both"/>
        <w:rPr>
          <w:rFonts w:ascii="Arial" w:hAnsi="Arial" w:cs="Arial"/>
          <w:sz w:val="24"/>
          <w:szCs w:val="24"/>
        </w:rPr>
      </w:pPr>
      <w:r>
        <w:rPr>
          <w:rFonts w:ascii="Arial" w:hAnsi="Arial" w:cs="Arial"/>
          <w:sz w:val="24"/>
          <w:szCs w:val="24"/>
        </w:rPr>
        <w:t>García, A. (2013</w:t>
      </w:r>
      <w:r w:rsidR="00870525" w:rsidRPr="00870525">
        <w:rPr>
          <w:rFonts w:ascii="Arial" w:hAnsi="Arial" w:cs="Arial"/>
          <w:sz w:val="24"/>
          <w:szCs w:val="24"/>
        </w:rPr>
        <w:t xml:space="preserve">). Mapas del conocimiento regionales para la inteligencia territorial. Recuperado 10 de septiembre de 2019, a partir de </w:t>
      </w:r>
      <w:hyperlink r:id="rId6" w:history="1">
        <w:r w:rsidR="00870525" w:rsidRPr="00870525">
          <w:rPr>
            <w:rStyle w:val="Hipervnculo"/>
            <w:rFonts w:ascii="Arial" w:hAnsi="Arial" w:cs="Arial"/>
            <w:sz w:val="24"/>
            <w:szCs w:val="24"/>
          </w:rPr>
          <w:t>https://comein.uoc.edu/divulgacio/comein/es/numero27/articles/Article-Montserrat-Garcia.html</w:t>
        </w:r>
      </w:hyperlink>
      <w:r w:rsidR="00870525" w:rsidRPr="00870525">
        <w:rPr>
          <w:rFonts w:ascii="Arial" w:hAnsi="Arial" w:cs="Arial"/>
          <w:sz w:val="24"/>
          <w:szCs w:val="24"/>
        </w:rPr>
        <w:t xml:space="preserve"> </w:t>
      </w:r>
    </w:p>
    <w:p w:rsidR="00870525" w:rsidRPr="00903587" w:rsidRDefault="00870525" w:rsidP="009558FA">
      <w:pPr>
        <w:rPr>
          <w:b/>
        </w:rPr>
      </w:pPr>
    </w:p>
    <w:sectPr w:rsidR="00870525" w:rsidRPr="00903587" w:rsidSect="001432E6">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215EF"/>
    <w:multiLevelType w:val="hybridMultilevel"/>
    <w:tmpl w:val="8BAE15C8"/>
    <w:lvl w:ilvl="0" w:tplc="8038568C">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39233C"/>
    <w:multiLevelType w:val="hybridMultilevel"/>
    <w:tmpl w:val="BCE4FEA4"/>
    <w:lvl w:ilvl="0" w:tplc="4120E870">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FA"/>
    <w:rsid w:val="000F189F"/>
    <w:rsid w:val="00123561"/>
    <w:rsid w:val="001432E6"/>
    <w:rsid w:val="001F4A5E"/>
    <w:rsid w:val="00221250"/>
    <w:rsid w:val="0036161E"/>
    <w:rsid w:val="00402841"/>
    <w:rsid w:val="00431B8E"/>
    <w:rsid w:val="00475FF7"/>
    <w:rsid w:val="00495077"/>
    <w:rsid w:val="005A3C72"/>
    <w:rsid w:val="005B1E7E"/>
    <w:rsid w:val="007566E0"/>
    <w:rsid w:val="007F0C82"/>
    <w:rsid w:val="008625DD"/>
    <w:rsid w:val="00870525"/>
    <w:rsid w:val="00903587"/>
    <w:rsid w:val="009558FA"/>
    <w:rsid w:val="009C0ECE"/>
    <w:rsid w:val="00AD7496"/>
    <w:rsid w:val="00BF4950"/>
    <w:rsid w:val="00C30C2A"/>
    <w:rsid w:val="00C437EF"/>
    <w:rsid w:val="00C95DB4"/>
    <w:rsid w:val="00E34A81"/>
    <w:rsid w:val="00F160AF"/>
    <w:rsid w:val="00FE3A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FB3F8-9DC5-487F-A74F-620402EF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8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25DD"/>
    <w:rPr>
      <w:color w:val="0563C1" w:themeColor="hyperlink"/>
      <w:u w:val="single"/>
    </w:rPr>
  </w:style>
  <w:style w:type="character" w:styleId="Hipervnculovisitado">
    <w:name w:val="FollowedHyperlink"/>
    <w:basedOn w:val="Fuentedeprrafopredeter"/>
    <w:uiPriority w:val="99"/>
    <w:semiHidden/>
    <w:unhideWhenUsed/>
    <w:rsid w:val="00F160AF"/>
    <w:rPr>
      <w:color w:val="954F72" w:themeColor="followedHyperlink"/>
      <w:u w:val="single"/>
    </w:rPr>
  </w:style>
  <w:style w:type="paragraph" w:styleId="Prrafodelista">
    <w:name w:val="List Paragraph"/>
    <w:basedOn w:val="Normal"/>
    <w:uiPriority w:val="34"/>
    <w:qFormat/>
    <w:rsid w:val="00870525"/>
    <w:pPr>
      <w:ind w:left="720"/>
      <w:contextualSpacing/>
    </w:pPr>
  </w:style>
  <w:style w:type="table" w:styleId="Tablaconcuadrcula">
    <w:name w:val="Table Grid"/>
    <w:basedOn w:val="Tablanormal"/>
    <w:uiPriority w:val="39"/>
    <w:rsid w:val="007F0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mein.uoc.edu/divulgacio/comein/es/numero27/articles/Article-Montserrat-Garci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6E35F-8CB1-44A7-82BF-96991143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965</Words>
  <Characters>5313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13</cp:revision>
  <dcterms:created xsi:type="dcterms:W3CDTF">2019-09-10T20:50:00Z</dcterms:created>
  <dcterms:modified xsi:type="dcterms:W3CDTF">2019-09-16T17:32:00Z</dcterms:modified>
</cp:coreProperties>
</file>