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18" w:rsidRDefault="00490E87" w:rsidP="00490E87">
      <w:pPr>
        <w:pStyle w:val="Prrafodelista"/>
        <w:numPr>
          <w:ilvl w:val="0"/>
          <w:numId w:val="1"/>
        </w:numPr>
      </w:pPr>
      <w:r>
        <w:t>Educación cultural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Estado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Interculturalidad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Mundos simbólicos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Proyectos comunitarios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patrimonio cultural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Cohesión social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Derechos humanos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Cultura de paz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Tecnología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 xml:space="preserve">Industrias culturales 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Políticas culturales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Bienes y servicios culturales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Participación social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Bienes exportados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Formación de público cultural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Cultura de la sustentabilidad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medio ambiente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medios de comunicación</w:t>
      </w:r>
    </w:p>
    <w:p w:rsidR="00490E87" w:rsidRDefault="00490E87" w:rsidP="00490E87">
      <w:pPr>
        <w:pStyle w:val="Prrafodelista"/>
        <w:numPr>
          <w:ilvl w:val="0"/>
          <w:numId w:val="1"/>
        </w:numPr>
      </w:pPr>
      <w:r>
        <w:t>manifestaciones culturales inmateriales</w:t>
      </w:r>
    </w:p>
    <w:sectPr w:rsidR="00490E87" w:rsidSect="00797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4C4C"/>
    <w:multiLevelType w:val="hybridMultilevel"/>
    <w:tmpl w:val="77102D6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90E87"/>
    <w:rsid w:val="00490E87"/>
    <w:rsid w:val="007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LAB-CIDITIC</dc:creator>
  <cp:lastModifiedBy>LAB-CIDITIC</cp:lastModifiedBy>
  <cp:revision>1</cp:revision>
  <dcterms:created xsi:type="dcterms:W3CDTF">2011-01-27T13:32:00Z</dcterms:created>
  <dcterms:modified xsi:type="dcterms:W3CDTF">2011-01-27T13:54:00Z</dcterms:modified>
</cp:coreProperties>
</file>