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 w:type="dxa"/>
        <w:tblCellMar>
          <w:top w:w="15" w:type="dxa"/>
          <w:left w:w="15" w:type="dxa"/>
          <w:bottom w:w="15" w:type="dxa"/>
          <w:right w:w="15" w:type="dxa"/>
        </w:tblCellMar>
        <w:tblLook w:val="04A0"/>
      </w:tblPr>
      <w:tblGrid>
        <w:gridCol w:w="6087"/>
      </w:tblGrid>
      <w:tr w:rsidR="00734CD3" w:rsidRPr="00734CD3" w:rsidTr="00734CD3">
        <w:trPr>
          <w:trHeight w:val="269"/>
        </w:trPr>
        <w:tc>
          <w:tcPr>
            <w:tcW w:w="5000" w:type="pct"/>
            <w:tcMar>
              <w:top w:w="0" w:type="dxa"/>
              <w:left w:w="365" w:type="dxa"/>
              <w:bottom w:w="0" w:type="dxa"/>
              <w:right w:w="0" w:type="dxa"/>
            </w:tcMar>
            <w:hideMark/>
          </w:tcPr>
          <w:p w:rsidR="00734CD3" w:rsidRPr="00734CD3" w:rsidRDefault="00734CD3" w:rsidP="00734CD3">
            <w:pPr>
              <w:spacing w:line="312" w:lineRule="atLeast"/>
              <w:jc w:val="left"/>
              <w:rPr>
                <w:rFonts w:ascii="Tahoma" w:eastAsia="Times New Roman" w:hAnsi="Tahoma" w:cs="Tahoma"/>
                <w:b/>
                <w:bCs/>
                <w:color w:val="993366"/>
                <w:sz w:val="15"/>
                <w:szCs w:val="15"/>
                <w:lang w:eastAsia="es-PA"/>
              </w:rPr>
            </w:pPr>
            <w:r w:rsidRPr="00734CD3">
              <w:rPr>
                <w:rFonts w:ascii="Tahoma" w:eastAsia="Times New Roman" w:hAnsi="Tahoma" w:cs="Tahoma"/>
                <w:b/>
                <w:bCs/>
                <w:color w:val="993366"/>
                <w:sz w:val="15"/>
                <w:szCs w:val="15"/>
                <w:lang w:eastAsia="es-PA"/>
              </w:rPr>
              <w:t xml:space="preserve">UNE 66181 La primera norma para evaluar la calidad de la formación virtual </w:t>
            </w:r>
          </w:p>
        </w:tc>
      </w:tr>
    </w:tbl>
    <w:p w:rsidR="00734CD3" w:rsidRPr="00734CD3" w:rsidRDefault="00734CD3" w:rsidP="00734CD3">
      <w:pPr>
        <w:shd w:val="clear" w:color="auto" w:fill="FFFFFF"/>
        <w:spacing w:line="312" w:lineRule="atLeast"/>
        <w:jc w:val="left"/>
        <w:rPr>
          <w:rFonts w:ascii="Tahoma" w:eastAsia="Times New Roman" w:hAnsi="Tahoma" w:cs="Tahoma"/>
          <w:vanish/>
          <w:color w:val="585858"/>
          <w:sz w:val="13"/>
          <w:szCs w:val="13"/>
          <w:lang w:val="es-ES" w:eastAsia="es-PA"/>
        </w:rPr>
      </w:pPr>
    </w:p>
    <w:tbl>
      <w:tblPr>
        <w:tblW w:w="0" w:type="auto"/>
        <w:tblInd w:w="54" w:type="dxa"/>
        <w:tblCellMar>
          <w:top w:w="15" w:type="dxa"/>
          <w:left w:w="15" w:type="dxa"/>
          <w:bottom w:w="15" w:type="dxa"/>
          <w:right w:w="15" w:type="dxa"/>
        </w:tblCellMar>
        <w:tblLook w:val="04A0"/>
      </w:tblPr>
      <w:tblGrid>
        <w:gridCol w:w="7522"/>
      </w:tblGrid>
      <w:tr w:rsidR="00734CD3" w:rsidRPr="00734CD3" w:rsidTr="00734CD3">
        <w:tc>
          <w:tcPr>
            <w:tcW w:w="0" w:type="auto"/>
            <w:tcMar>
              <w:top w:w="0" w:type="dxa"/>
              <w:left w:w="0" w:type="dxa"/>
              <w:bottom w:w="0" w:type="dxa"/>
              <w:right w:w="0" w:type="dxa"/>
            </w:tcMar>
            <w:hideMark/>
          </w:tcPr>
          <w:p w:rsidR="00734CD3" w:rsidRPr="00734CD3" w:rsidRDefault="00734CD3" w:rsidP="00734CD3">
            <w:pPr>
              <w:spacing w:line="312" w:lineRule="atLeast"/>
              <w:jc w:val="left"/>
              <w:rPr>
                <w:rFonts w:ascii="Tahoma" w:eastAsia="Times New Roman" w:hAnsi="Tahoma" w:cs="Tahoma"/>
                <w:color w:val="585858"/>
                <w:sz w:val="13"/>
                <w:szCs w:val="13"/>
                <w:lang w:eastAsia="es-PA"/>
              </w:rPr>
            </w:pPr>
          </w:p>
          <w:tbl>
            <w:tblPr>
              <w:tblW w:w="7522" w:type="dxa"/>
              <w:tblCellSpacing w:w="15" w:type="dxa"/>
              <w:tblCellMar>
                <w:top w:w="15" w:type="dxa"/>
                <w:left w:w="15" w:type="dxa"/>
                <w:bottom w:w="15" w:type="dxa"/>
                <w:right w:w="15" w:type="dxa"/>
              </w:tblCellMar>
              <w:tblLook w:val="04A0"/>
            </w:tblPr>
            <w:tblGrid>
              <w:gridCol w:w="7522"/>
            </w:tblGrid>
            <w:tr w:rsidR="00734CD3" w:rsidRPr="00734CD3">
              <w:trPr>
                <w:tblCellSpacing w:w="15" w:type="dxa"/>
              </w:trPr>
              <w:tc>
                <w:tcPr>
                  <w:tcW w:w="0" w:type="auto"/>
                  <w:tcMar>
                    <w:top w:w="0" w:type="dxa"/>
                    <w:left w:w="0" w:type="dxa"/>
                    <w:bottom w:w="0" w:type="dxa"/>
                    <w:right w:w="0" w:type="dxa"/>
                  </w:tcMar>
                  <w:vAlign w:val="center"/>
                  <w:hideMark/>
                </w:tcPr>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En 2008 se publicaba la validez de la norma UNE 66181 para la calidad de la formación virtual. Una norma creada por AENOR, en coordinación con los diferentes agentes de la industria, con la que se pretende establecer una serie de criterios específicos de la calidad de la formación virtual no reglada.</w:t>
                  </w:r>
                </w:p>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La formación en general, y la formación virtual en particular, no son ajenas a la preocupación existente entre los organismos de estandarización para unificar criterios y proponer normas y guías universalmente aceptadas que aseguren la calidad de los productos y servicios realizados en cualquier ámbito de la industria. La formación puede considerarse un producto o servicio, y por tanto debe estar sujeta a mecanismo de garantía de la calidad.</w:t>
                  </w:r>
                </w:p>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La norma ISO 66181 pretende:</w:t>
                  </w:r>
                </w:p>
                <w:p w:rsidR="00734CD3" w:rsidRPr="00734CD3" w:rsidRDefault="00734CD3" w:rsidP="00734CD3">
                  <w:pPr>
                    <w:numPr>
                      <w:ilvl w:val="0"/>
                      <w:numId w:val="1"/>
                    </w:numPr>
                    <w:spacing w:before="100" w:beforeAutospacing="1" w:after="100" w:afterAutospacing="1" w:line="312"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Asegurar que los clientes, usuarios y alumnos de la formación virtual puedan seleccionar la oferta formativa que mejor se adapte a sus necesidades y con ello disminuir la diferencia entre sus necesidades y expectativas, y su nivel de satisfacción.</w:t>
                  </w:r>
                </w:p>
                <w:p w:rsidR="00734CD3" w:rsidRPr="00734CD3" w:rsidRDefault="00734CD3" w:rsidP="00734CD3">
                  <w:pPr>
                    <w:numPr>
                      <w:ilvl w:val="0"/>
                      <w:numId w:val="2"/>
                    </w:numPr>
                    <w:spacing w:before="100" w:beforeAutospacing="1" w:after="100" w:afterAutospacing="1" w:line="312"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Mejorar la credibilidad y fiabilidad del mercado de la formación virtual.</w:t>
                  </w:r>
                </w:p>
                <w:p w:rsidR="00734CD3" w:rsidRPr="00734CD3" w:rsidRDefault="00734CD3" w:rsidP="00734CD3">
                  <w:pPr>
                    <w:spacing w:line="312"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 xml:space="preserve">La norma tiene en cuenta la información mínima a incluir en la oferta formativa para que el alumno conozca a priori el tipo de "producto" que adquiere. Se evalúan tres elementos diferenciados: </w:t>
                  </w:r>
                  <w:proofErr w:type="spellStart"/>
                  <w:r w:rsidRPr="00734CD3">
                    <w:rPr>
                      <w:rFonts w:ascii="Tahoma" w:eastAsia="Times New Roman" w:hAnsi="Tahoma" w:cs="Tahoma"/>
                      <w:color w:val="585858"/>
                      <w:sz w:val="13"/>
                      <w:szCs w:val="13"/>
                      <w:lang w:eastAsia="es-PA"/>
                    </w:rPr>
                    <w:t>empleabilidad</w:t>
                  </w:r>
                  <w:proofErr w:type="spellEnd"/>
                  <w:r w:rsidRPr="00734CD3">
                    <w:rPr>
                      <w:rFonts w:ascii="Tahoma" w:eastAsia="Times New Roman" w:hAnsi="Tahoma" w:cs="Tahoma"/>
                      <w:color w:val="585858"/>
                      <w:sz w:val="13"/>
                      <w:szCs w:val="13"/>
                      <w:lang w:eastAsia="es-PA"/>
                    </w:rPr>
                    <w:t>, facilidad de asimilación y accesibilidad. Estos tres elementos tendrán una puntuación que van desde inicial a excelente (1 a 5).</w:t>
                  </w:r>
                </w:p>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A pesar de no ser perfecta y de tener elementos muy discutibles es un buen comienzo y una forma de normalizar un sector cómo la formación online.</w:t>
                  </w:r>
                </w:p>
                <w:p w:rsidR="00734CD3" w:rsidRDefault="00734CD3" w:rsidP="00734CD3">
                  <w:pPr>
                    <w:spacing w:after="54" w:line="236" w:lineRule="atLeast"/>
                    <w:jc w:val="left"/>
                    <w:rPr>
                      <w:rFonts w:ascii="Tahoma" w:eastAsia="Times New Roman" w:hAnsi="Tahoma" w:cs="Tahoma"/>
                      <w:color w:val="585858"/>
                      <w:sz w:val="13"/>
                      <w:szCs w:val="13"/>
                      <w:lang w:eastAsia="es-PA"/>
                    </w:rPr>
                  </w:pPr>
                  <w:r>
                    <w:rPr>
                      <w:rFonts w:ascii="Tahoma" w:eastAsia="Times New Roman" w:hAnsi="Tahoma" w:cs="Tahoma"/>
                      <w:noProof/>
                      <w:color w:val="585858"/>
                      <w:sz w:val="13"/>
                      <w:szCs w:val="13"/>
                      <w:lang w:eastAsia="es-PA"/>
                    </w:rPr>
                    <w:drawing>
                      <wp:inline distT="0" distB="0" distL="0" distR="0">
                        <wp:extent cx="307340" cy="307340"/>
                        <wp:effectExtent l="19050" t="0" r="0" b="0"/>
                        <wp:docPr id="1" name="Imagen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34CD3">
                    <w:rPr>
                      <w:rFonts w:ascii="Tahoma" w:eastAsia="Times New Roman" w:hAnsi="Tahoma" w:cs="Tahoma"/>
                      <w:color w:val="585858"/>
                      <w:sz w:val="13"/>
                      <w:szCs w:val="13"/>
                      <w:lang w:eastAsia="es-PA"/>
                    </w:rPr>
                    <w:t xml:space="preserve">Más Información: </w:t>
                  </w:r>
                  <w:hyperlink r:id="rId6" w:tgtFrame="_blank" w:history="1">
                    <w:r w:rsidRPr="00734CD3">
                      <w:rPr>
                        <w:rFonts w:ascii="Tahoma" w:eastAsia="Times New Roman" w:hAnsi="Tahoma" w:cs="Tahoma"/>
                        <w:color w:val="555555"/>
                        <w:sz w:val="13"/>
                        <w:lang w:eastAsia="es-PA"/>
                      </w:rPr>
                      <w:t>Artículo José Ramón Hilera</w:t>
                    </w:r>
                  </w:hyperlink>
                </w:p>
                <w:p w:rsidR="00734CD3" w:rsidRDefault="00734CD3" w:rsidP="00734CD3">
                  <w:pPr>
                    <w:spacing w:after="54" w:line="236" w:lineRule="atLeast"/>
                    <w:jc w:val="left"/>
                    <w:rPr>
                      <w:rFonts w:ascii="Tahoma" w:eastAsia="Times New Roman" w:hAnsi="Tahoma" w:cs="Tahoma"/>
                      <w:color w:val="585858"/>
                      <w:sz w:val="13"/>
                      <w:szCs w:val="13"/>
                      <w:lang w:eastAsia="es-PA"/>
                    </w:rPr>
                  </w:pPr>
                  <w:hyperlink r:id="rId7" w:history="1">
                    <w:r w:rsidRPr="00701BC2">
                      <w:rPr>
                        <w:rStyle w:val="Hipervnculo"/>
                        <w:rFonts w:ascii="Tahoma" w:eastAsia="Times New Roman" w:hAnsi="Tahoma" w:cs="Tahoma"/>
                        <w:sz w:val="13"/>
                        <w:szCs w:val="13"/>
                        <w:lang w:eastAsia="es-PA"/>
                      </w:rPr>
                      <w:t>http://www.elearningkontinia.com/descargas/articulos/joseramonhilera.pdf</w:t>
                    </w:r>
                  </w:hyperlink>
                </w:p>
                <w:p w:rsidR="00271AB4" w:rsidRDefault="00271AB4" w:rsidP="00271AB4">
                  <w:pPr>
                    <w:autoSpaceDE w:val="0"/>
                    <w:autoSpaceDN w:val="0"/>
                    <w:adjustRightInd w:val="0"/>
                    <w:spacing w:line="240" w:lineRule="auto"/>
                    <w:jc w:val="left"/>
                    <w:rPr>
                      <w:rFonts w:ascii="Helvetica" w:hAnsi="Helvetica" w:cs="Helvetica"/>
                      <w:color w:val="000000"/>
                      <w:sz w:val="18"/>
                      <w:szCs w:val="18"/>
                    </w:rPr>
                  </w:pPr>
                  <w:r>
                    <w:rPr>
                      <w:rFonts w:ascii="Helvetica" w:hAnsi="Helvetica" w:cs="Helvetica"/>
                      <w:color w:val="000000"/>
                      <w:sz w:val="18"/>
                      <w:szCs w:val="18"/>
                    </w:rPr>
                    <w:t>RED, Revista de Educación a Distancia. Número monográfico VII.- 30 de Diciembre de 2008.</w:t>
                  </w:r>
                </w:p>
                <w:p w:rsidR="00271AB4" w:rsidRDefault="00271AB4" w:rsidP="00271AB4">
                  <w:pPr>
                    <w:autoSpaceDE w:val="0"/>
                    <w:autoSpaceDN w:val="0"/>
                    <w:adjustRightInd w:val="0"/>
                    <w:spacing w:line="240" w:lineRule="auto"/>
                    <w:jc w:val="left"/>
                    <w:rPr>
                      <w:rFonts w:ascii="Helvetica-Oblique" w:hAnsi="Helvetica-Oblique" w:cs="Helvetica-Oblique"/>
                      <w:i/>
                      <w:iCs/>
                      <w:color w:val="000000"/>
                      <w:sz w:val="18"/>
                      <w:szCs w:val="18"/>
                    </w:rPr>
                  </w:pPr>
                  <w:r>
                    <w:rPr>
                      <w:rFonts w:ascii="Helvetica" w:hAnsi="Helvetica" w:cs="Helvetica"/>
                      <w:color w:val="000000"/>
                      <w:sz w:val="18"/>
                      <w:szCs w:val="18"/>
                    </w:rPr>
                    <w:t xml:space="preserve">Número especial dedicado a </w:t>
                  </w:r>
                  <w:r>
                    <w:rPr>
                      <w:rFonts w:ascii="Helvetica-Oblique" w:hAnsi="Helvetica-Oblique" w:cs="Helvetica-Oblique"/>
                      <w:i/>
                      <w:iCs/>
                      <w:color w:val="000000"/>
                      <w:sz w:val="18"/>
                      <w:szCs w:val="18"/>
                    </w:rPr>
                    <w:t>la evaluación de la calidad en entornos virtuales de aprendizaje.</w:t>
                  </w:r>
                </w:p>
                <w:p w:rsidR="00271AB4" w:rsidRDefault="00271AB4" w:rsidP="00271AB4">
                  <w:pPr>
                    <w:spacing w:after="54" w:line="236" w:lineRule="atLeast"/>
                    <w:jc w:val="left"/>
                    <w:rPr>
                      <w:rFonts w:ascii="Tahoma" w:eastAsia="Times New Roman" w:hAnsi="Tahoma" w:cs="Tahoma"/>
                      <w:color w:val="585858"/>
                      <w:sz w:val="13"/>
                      <w:szCs w:val="13"/>
                      <w:lang w:eastAsia="es-PA"/>
                    </w:rPr>
                  </w:pPr>
                  <w:r>
                    <w:rPr>
                      <w:rFonts w:ascii="Helvetica-Oblique" w:hAnsi="Helvetica-Oblique" w:cs="Helvetica-Oblique"/>
                      <w:i/>
                      <w:iCs/>
                      <w:color w:val="000000"/>
                      <w:sz w:val="18"/>
                      <w:szCs w:val="18"/>
                    </w:rPr>
                    <w:t>http://www.um.es/ead/red/M7/</w:t>
                  </w:r>
                  <w:r>
                    <w:rPr>
                      <w:rFonts w:ascii="Helvetica" w:hAnsi="Helvetica" w:cs="Helvetica"/>
                      <w:color w:val="000080"/>
                      <w:sz w:val="14"/>
                      <w:szCs w:val="14"/>
                    </w:rPr>
                    <w:t>.</w:t>
                  </w:r>
                </w:p>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p>
                <w:p w:rsidR="00734CD3" w:rsidRDefault="00734CD3" w:rsidP="00734CD3">
                  <w:pPr>
                    <w:spacing w:after="54" w:line="236" w:lineRule="atLeast"/>
                    <w:jc w:val="left"/>
                    <w:rPr>
                      <w:rFonts w:ascii="Tahoma" w:eastAsia="Times New Roman" w:hAnsi="Tahoma" w:cs="Tahoma"/>
                      <w:color w:val="585858"/>
                      <w:sz w:val="13"/>
                      <w:szCs w:val="13"/>
                      <w:lang w:eastAsia="es-PA"/>
                    </w:rPr>
                  </w:pPr>
                  <w:r>
                    <w:rPr>
                      <w:rFonts w:ascii="Tahoma" w:eastAsia="Times New Roman" w:hAnsi="Tahoma" w:cs="Tahoma"/>
                      <w:noProof/>
                      <w:color w:val="585858"/>
                      <w:sz w:val="13"/>
                      <w:szCs w:val="13"/>
                      <w:lang w:eastAsia="es-PA"/>
                    </w:rPr>
                    <w:drawing>
                      <wp:inline distT="0" distB="0" distL="0" distR="0">
                        <wp:extent cx="307340" cy="307340"/>
                        <wp:effectExtent l="19050" t="0" r="0" b="0"/>
                        <wp:docPr id="2" name="Imagen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5"/>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734CD3">
                    <w:rPr>
                      <w:rFonts w:ascii="Tahoma" w:eastAsia="Times New Roman" w:hAnsi="Tahoma" w:cs="Tahoma"/>
                      <w:color w:val="585858"/>
                      <w:sz w:val="13"/>
                      <w:szCs w:val="13"/>
                      <w:lang w:eastAsia="es-PA"/>
                    </w:rPr>
                    <w:t xml:space="preserve">Más Información: </w:t>
                  </w:r>
                  <w:hyperlink r:id="rId8" w:tgtFrame="_blank" w:history="1">
                    <w:r w:rsidRPr="00734CD3">
                      <w:rPr>
                        <w:rFonts w:ascii="Tahoma" w:eastAsia="Times New Roman" w:hAnsi="Tahoma" w:cs="Tahoma"/>
                        <w:color w:val="555555"/>
                        <w:sz w:val="13"/>
                        <w:lang w:eastAsia="es-PA"/>
                      </w:rPr>
                      <w:t xml:space="preserve">Jornadas de presentación de la norma por </w:t>
                    </w:r>
                    <w:proofErr w:type="spellStart"/>
                    <w:r w:rsidRPr="00734CD3">
                      <w:rPr>
                        <w:rFonts w:ascii="Tahoma" w:eastAsia="Times New Roman" w:hAnsi="Tahoma" w:cs="Tahoma"/>
                        <w:color w:val="555555"/>
                        <w:sz w:val="13"/>
                        <w:lang w:eastAsia="es-PA"/>
                      </w:rPr>
                      <w:t>Aenor</w:t>
                    </w:r>
                    <w:proofErr w:type="spellEnd"/>
                  </w:hyperlink>
                </w:p>
                <w:p w:rsidR="00734CD3" w:rsidRPr="00734CD3" w:rsidRDefault="00734CD3" w:rsidP="00734CD3">
                  <w:pPr>
                    <w:spacing w:after="54" w:line="236" w:lineRule="atLeast"/>
                    <w:jc w:val="left"/>
                    <w:rPr>
                      <w:rFonts w:ascii="Tahoma" w:eastAsia="Times New Roman" w:hAnsi="Tahoma" w:cs="Tahoma"/>
                      <w:color w:val="585858"/>
                      <w:sz w:val="13"/>
                      <w:szCs w:val="13"/>
                      <w:lang w:eastAsia="es-PA"/>
                    </w:rPr>
                  </w:pPr>
                  <w:r w:rsidRPr="00734CD3">
                    <w:rPr>
                      <w:rFonts w:ascii="Tahoma" w:eastAsia="Times New Roman" w:hAnsi="Tahoma" w:cs="Tahoma"/>
                      <w:color w:val="585858"/>
                      <w:sz w:val="13"/>
                      <w:szCs w:val="13"/>
                      <w:lang w:eastAsia="es-PA"/>
                    </w:rPr>
                    <w:t>http://www.elearningkontinia.com/descargas/articulos/AENOR_66181.pdf</w:t>
                  </w:r>
                </w:p>
              </w:tc>
            </w:tr>
          </w:tbl>
          <w:p w:rsidR="00734CD3" w:rsidRPr="00734CD3" w:rsidRDefault="00734CD3" w:rsidP="00734CD3">
            <w:pPr>
              <w:spacing w:line="312" w:lineRule="atLeast"/>
              <w:jc w:val="left"/>
              <w:rPr>
                <w:rFonts w:ascii="Tahoma" w:eastAsia="Times New Roman" w:hAnsi="Tahoma" w:cs="Tahoma"/>
                <w:color w:val="585858"/>
                <w:sz w:val="13"/>
                <w:szCs w:val="13"/>
                <w:lang w:eastAsia="es-PA"/>
              </w:rPr>
            </w:pPr>
          </w:p>
        </w:tc>
      </w:tr>
    </w:tbl>
    <w:p w:rsidR="008A0DEE" w:rsidRDefault="00590FB8"/>
    <w:p w:rsidR="00734CD3" w:rsidRDefault="00734CD3">
      <w:proofErr w:type="spellStart"/>
      <w:r>
        <w:t>Kontinia</w:t>
      </w:r>
      <w:proofErr w:type="spellEnd"/>
      <w:r>
        <w:t xml:space="preserve"> </w:t>
      </w:r>
      <w:proofErr w:type="spellStart"/>
      <w:r>
        <w:t>Elearning</w:t>
      </w:r>
      <w:proofErr w:type="spellEnd"/>
      <w:r>
        <w:t xml:space="preserve">. </w:t>
      </w:r>
      <w:hyperlink r:id="rId9" w:history="1">
        <w:r w:rsidRPr="00701BC2">
          <w:rPr>
            <w:rStyle w:val="Hipervnculo"/>
          </w:rPr>
          <w:t>http://www.elearningkontinia.com/index.php/compartimos-el-conocimiento-en-elearning-y-nuevas-tecnologias/articulo-une-66181-calidad-en-la-formacion-online-aenor.html</w:t>
        </w:r>
      </w:hyperlink>
    </w:p>
    <w:p w:rsidR="00734CD3" w:rsidRDefault="00734CD3"/>
    <w:sectPr w:rsidR="00734CD3" w:rsidSect="00383E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F84"/>
    <w:multiLevelType w:val="multilevel"/>
    <w:tmpl w:val="68E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3411E"/>
    <w:multiLevelType w:val="multilevel"/>
    <w:tmpl w:val="C48A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34CD3"/>
    <w:rsid w:val="00271AB4"/>
    <w:rsid w:val="00383EC1"/>
    <w:rsid w:val="003F6D87"/>
    <w:rsid w:val="00426C2A"/>
    <w:rsid w:val="004E4700"/>
    <w:rsid w:val="00590FB8"/>
    <w:rsid w:val="00733376"/>
    <w:rsid w:val="00734CD3"/>
    <w:rsid w:val="009F098E"/>
    <w:rsid w:val="00CE46EF"/>
    <w:rsid w:val="00E063ED"/>
    <w:rsid w:val="00E357D6"/>
    <w:rsid w:val="00EA389F"/>
    <w:rsid w:val="00ED2EB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line="255"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CD3"/>
    <w:rPr>
      <w:b w:val="0"/>
      <w:bCs w:val="0"/>
      <w:strike w:val="0"/>
      <w:dstrike w:val="0"/>
      <w:color w:val="555555"/>
      <w:u w:val="none"/>
      <w:effect w:val="none"/>
    </w:rPr>
  </w:style>
  <w:style w:type="paragraph" w:styleId="Textodeglobo">
    <w:name w:val="Balloon Text"/>
    <w:basedOn w:val="Normal"/>
    <w:link w:val="TextodegloboCar"/>
    <w:uiPriority w:val="99"/>
    <w:semiHidden/>
    <w:unhideWhenUsed/>
    <w:rsid w:val="00734C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256477">
      <w:bodyDiv w:val="1"/>
      <w:marLeft w:val="0"/>
      <w:marRight w:val="0"/>
      <w:marTop w:val="0"/>
      <w:marBottom w:val="0"/>
      <w:divBdr>
        <w:top w:val="none" w:sz="0" w:space="0" w:color="auto"/>
        <w:left w:val="none" w:sz="0" w:space="0" w:color="auto"/>
        <w:bottom w:val="none" w:sz="0" w:space="0" w:color="auto"/>
        <w:right w:val="none" w:sz="0" w:space="0" w:color="auto"/>
      </w:divBdr>
      <w:divsChild>
        <w:div w:id="1558467209">
          <w:marLeft w:val="54"/>
          <w:marRight w:val="54"/>
          <w:marTop w:val="0"/>
          <w:marBottom w:val="0"/>
          <w:divBdr>
            <w:top w:val="none" w:sz="0" w:space="0" w:color="auto"/>
            <w:left w:val="none" w:sz="0" w:space="0" w:color="auto"/>
            <w:bottom w:val="none" w:sz="0" w:space="0" w:color="auto"/>
            <w:right w:val="none" w:sz="0" w:space="0" w:color="auto"/>
          </w:divBdr>
          <w:divsChild>
            <w:div w:id="890845714">
              <w:marLeft w:val="0"/>
              <w:marRight w:val="0"/>
              <w:marTop w:val="0"/>
              <w:marBottom w:val="0"/>
              <w:divBdr>
                <w:top w:val="none" w:sz="0" w:space="0" w:color="auto"/>
                <w:left w:val="none" w:sz="0" w:space="0" w:color="auto"/>
                <w:bottom w:val="none" w:sz="0" w:space="0" w:color="auto"/>
                <w:right w:val="none" w:sz="0" w:space="0" w:color="auto"/>
              </w:divBdr>
              <w:divsChild>
                <w:div w:id="1390349889">
                  <w:marLeft w:val="0"/>
                  <w:marRight w:val="0"/>
                  <w:marTop w:val="0"/>
                  <w:marBottom w:val="0"/>
                  <w:divBdr>
                    <w:top w:val="none" w:sz="0" w:space="0" w:color="auto"/>
                    <w:left w:val="none" w:sz="0" w:space="0" w:color="auto"/>
                    <w:bottom w:val="none" w:sz="0" w:space="0" w:color="auto"/>
                    <w:right w:val="none" w:sz="0" w:space="0" w:color="auto"/>
                  </w:divBdr>
                </w:div>
                <w:div w:id="497577147">
                  <w:marLeft w:val="0"/>
                  <w:marRight w:val="0"/>
                  <w:marTop w:val="0"/>
                  <w:marBottom w:val="0"/>
                  <w:divBdr>
                    <w:top w:val="none" w:sz="0" w:space="0" w:color="auto"/>
                    <w:left w:val="none" w:sz="0" w:space="0" w:color="auto"/>
                    <w:bottom w:val="none" w:sz="0" w:space="0" w:color="auto"/>
                    <w:right w:val="none" w:sz="0" w:space="0" w:color="auto"/>
                  </w:divBdr>
                </w:div>
                <w:div w:id="1943567987">
                  <w:marLeft w:val="0"/>
                  <w:marRight w:val="0"/>
                  <w:marTop w:val="0"/>
                  <w:marBottom w:val="0"/>
                  <w:divBdr>
                    <w:top w:val="none" w:sz="0" w:space="0" w:color="auto"/>
                    <w:left w:val="none" w:sz="0" w:space="0" w:color="auto"/>
                    <w:bottom w:val="none" w:sz="0" w:space="0" w:color="auto"/>
                    <w:right w:val="none" w:sz="0" w:space="0" w:color="auto"/>
                  </w:divBdr>
                </w:div>
                <w:div w:id="5172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ingkontinia.com/descargas/articulos/AENOR_66181.pdf" TargetMode="External"/><Relationship Id="rId3" Type="http://schemas.openxmlformats.org/officeDocument/2006/relationships/settings" Target="settings.xml"/><Relationship Id="rId7" Type="http://schemas.openxmlformats.org/officeDocument/2006/relationships/hyperlink" Target="http://www.elearningkontinia.com/descargas/articulos/joseramonhile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arningkontinia.com/descargas/articulos/joseramonhilera.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earningkontinia.com/index.php/compartimos-el-conocimiento-en-elearning-y-nuevas-tecnologias/articulo-une-66181-calidad-en-la-formacion-online-aen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Darkdragon</dc:creator>
  <cp:lastModifiedBy>Darkdragon</cp:lastModifiedBy>
  <cp:revision>1</cp:revision>
  <dcterms:created xsi:type="dcterms:W3CDTF">2011-02-28T20:30:00Z</dcterms:created>
  <dcterms:modified xsi:type="dcterms:W3CDTF">2011-02-28T22:43:00Z</dcterms:modified>
</cp:coreProperties>
</file>