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  <w:r w:rsidRPr="00AD6A83">
        <w:rPr>
          <w:rFonts w:ascii="Verdana" w:hAnsi="Verdana"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1582362</wp:posOffset>
            </wp:positionH>
            <wp:positionV relativeFrom="paragraph">
              <wp:posOffset>-671484</wp:posOffset>
            </wp:positionV>
            <wp:extent cx="2408267" cy="1546168"/>
            <wp:effectExtent l="19050" t="0" r="0" b="0"/>
            <wp:wrapNone/>
            <wp:docPr id="2" name="Imagen 2" descr="LOGO NUEVO U MAYOR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NUEVO U MAYOR 2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AD6A83">
      <w:pPr>
        <w:jc w:val="center"/>
        <w:rPr>
          <w:rFonts w:ascii="Verdana" w:hAnsi="Verdana"/>
        </w:rPr>
      </w:pPr>
      <w:r>
        <w:rPr>
          <w:noProof/>
          <w:lang w:val="es-AR" w:eastAsia="es-AR"/>
        </w:rPr>
        <w:drawing>
          <wp:inline distT="0" distB="0" distL="0" distR="0">
            <wp:extent cx="2857500" cy="2828925"/>
            <wp:effectExtent l="19050" t="0" r="0" b="0"/>
            <wp:docPr id="1" name="Imagen 1" descr="http://146.83.43.189/agrimed2/images/stories/e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6.83.43.189/agrimed2/images/stories/elearn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FF6411" w:rsidRDefault="00FF6411" w:rsidP="00407F00">
      <w:pPr>
        <w:jc w:val="both"/>
        <w:rPr>
          <w:rFonts w:ascii="Verdana" w:hAnsi="Verdana"/>
        </w:rPr>
      </w:pPr>
    </w:p>
    <w:p w:rsidR="00AD6A83" w:rsidRPr="00FF6411" w:rsidRDefault="00AD6A83" w:rsidP="00AD6A83">
      <w:pPr>
        <w:jc w:val="center"/>
        <w:rPr>
          <w:rFonts w:ascii="Lucida Sans Unicode" w:hAnsi="Lucida Sans Unicode" w:cs="Lucida Sans Unicode"/>
          <w:sz w:val="44"/>
        </w:rPr>
      </w:pPr>
      <w:r w:rsidRPr="00FF6411">
        <w:rPr>
          <w:rFonts w:ascii="Lucida Sans Unicode" w:hAnsi="Lucida Sans Unicode" w:cs="Lucida Sans Unicode"/>
          <w:sz w:val="44"/>
        </w:rPr>
        <w:t>Unidad E-Learning</w:t>
      </w:r>
    </w:p>
    <w:p w:rsidR="00AD6A83" w:rsidRPr="00FF6411" w:rsidRDefault="00AD6A83" w:rsidP="00407F00">
      <w:pPr>
        <w:jc w:val="both"/>
        <w:rPr>
          <w:rFonts w:ascii="Lucida Sans Unicode" w:hAnsi="Lucida Sans Unicode" w:cs="Lucida Sans Unicode"/>
        </w:rPr>
      </w:pPr>
    </w:p>
    <w:p w:rsidR="00AD6A83" w:rsidRPr="00FF6411" w:rsidRDefault="00AD6A83" w:rsidP="00407F00">
      <w:pPr>
        <w:jc w:val="both"/>
        <w:rPr>
          <w:rFonts w:ascii="Lucida Sans Unicode" w:hAnsi="Lucida Sans Unicode" w:cs="Lucida Sans Unicode"/>
        </w:rPr>
      </w:pPr>
    </w:p>
    <w:p w:rsidR="00AD6A83" w:rsidRPr="00FF6411" w:rsidRDefault="00AD6A83" w:rsidP="00407F00">
      <w:pPr>
        <w:jc w:val="both"/>
        <w:rPr>
          <w:rFonts w:ascii="Lucida Sans Unicode" w:hAnsi="Lucida Sans Unicode" w:cs="Lucida Sans Unicode"/>
        </w:rPr>
      </w:pPr>
    </w:p>
    <w:p w:rsidR="00FF6411" w:rsidRPr="00FF6411" w:rsidRDefault="00FF6411" w:rsidP="00FF6411">
      <w:pPr>
        <w:spacing w:line="360" w:lineRule="auto"/>
        <w:jc w:val="right"/>
        <w:rPr>
          <w:rFonts w:ascii="Lucida Sans Unicode" w:hAnsi="Lucida Sans Unicode" w:cs="Lucida Sans Unicode"/>
          <w:bCs/>
          <w:sz w:val="20"/>
        </w:rPr>
      </w:pPr>
      <w:r w:rsidRPr="00FF6411">
        <w:rPr>
          <w:rFonts w:ascii="Lucida Sans Unicode" w:hAnsi="Lucida Sans Unicode" w:cs="Lucida Sans Unicode"/>
          <w:bCs/>
          <w:sz w:val="20"/>
        </w:rPr>
        <w:t>María Angélica ARÁN JARA</w:t>
      </w:r>
    </w:p>
    <w:p w:rsidR="00FF6411" w:rsidRPr="00FF6411" w:rsidRDefault="00FF6411" w:rsidP="00FF6411">
      <w:pPr>
        <w:spacing w:line="360" w:lineRule="auto"/>
        <w:jc w:val="right"/>
        <w:rPr>
          <w:rFonts w:ascii="Lucida Sans Unicode" w:hAnsi="Lucida Sans Unicode" w:cs="Lucida Sans Unicode"/>
          <w:bCs/>
          <w:i/>
        </w:rPr>
      </w:pPr>
      <w:r w:rsidRPr="00FF6411">
        <w:rPr>
          <w:rFonts w:ascii="Lucida Sans Unicode" w:hAnsi="Lucida Sans Unicode" w:cs="Lucida Sans Unicode"/>
          <w:bCs/>
          <w:sz w:val="20"/>
        </w:rPr>
        <w:t>Claudio Edder JARA JARA</w:t>
      </w:r>
    </w:p>
    <w:p w:rsidR="00FF6411" w:rsidRPr="009D25C6" w:rsidRDefault="00FF6411" w:rsidP="00FF6411">
      <w:pPr>
        <w:spacing w:line="360" w:lineRule="auto"/>
        <w:jc w:val="center"/>
        <w:rPr>
          <w:rFonts w:ascii="Arial" w:hAnsi="Arial" w:cs="Arial"/>
        </w:rPr>
      </w:pPr>
    </w:p>
    <w:p w:rsidR="00AD6A83" w:rsidRDefault="00AD6A83" w:rsidP="00FF6411">
      <w:pPr>
        <w:jc w:val="right"/>
        <w:rPr>
          <w:rFonts w:ascii="Verdana" w:hAnsi="Verdana"/>
        </w:rPr>
      </w:pPr>
    </w:p>
    <w:p w:rsidR="00AD6A83" w:rsidRDefault="00AD6A83" w:rsidP="00407F00">
      <w:pPr>
        <w:jc w:val="both"/>
        <w:rPr>
          <w:rFonts w:ascii="Verdana" w:hAnsi="Verdana"/>
        </w:rPr>
      </w:pPr>
    </w:p>
    <w:p w:rsidR="00480090" w:rsidRDefault="00407F00" w:rsidP="00407F0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93406B" w:rsidRPr="0093406B">
        <w:rPr>
          <w:rFonts w:ascii="Verdana" w:hAnsi="Verdana"/>
        </w:rPr>
        <w:t xml:space="preserve">La presente planificación </w:t>
      </w:r>
      <w:r w:rsidR="0093406B">
        <w:rPr>
          <w:rFonts w:ascii="Verdana" w:hAnsi="Verdana"/>
        </w:rPr>
        <w:t xml:space="preserve">corresponde a una unidad de aprendizaje desarrollada para un curso de nivel universitario. Situados en este contexto, se aborda una temática </w:t>
      </w:r>
      <w:r>
        <w:rPr>
          <w:rFonts w:ascii="Verdana" w:hAnsi="Verdana"/>
        </w:rPr>
        <w:t>relevante para la formación profesional del estudiante que aspira al título de profesor.</w:t>
      </w:r>
    </w:p>
    <w:p w:rsidR="00407F00" w:rsidRDefault="00407F00" w:rsidP="00407F00">
      <w:pPr>
        <w:jc w:val="both"/>
        <w:rPr>
          <w:rFonts w:ascii="Verdana" w:hAnsi="Verdana"/>
        </w:rPr>
      </w:pPr>
    </w:p>
    <w:p w:rsidR="00407F00" w:rsidRDefault="00407F00" w:rsidP="00407F00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Esta unidad se adscribe a cátedras asociadas a la eficiencia y calidad de la educación, como a las </w:t>
      </w:r>
      <w:r w:rsidR="002E655B">
        <w:rPr>
          <w:rFonts w:ascii="Verdana" w:hAnsi="Verdana"/>
        </w:rPr>
        <w:t>prácticas</w:t>
      </w:r>
      <w:r>
        <w:rPr>
          <w:rFonts w:ascii="Verdana" w:hAnsi="Verdana"/>
        </w:rPr>
        <w:t xml:space="preserve"> profesionales de los estudiantes.</w:t>
      </w:r>
    </w:p>
    <w:p w:rsidR="00407F00" w:rsidRDefault="00407F00" w:rsidP="00407F00">
      <w:pPr>
        <w:jc w:val="both"/>
        <w:rPr>
          <w:rFonts w:ascii="Verdana" w:hAnsi="Verdana"/>
        </w:rPr>
      </w:pPr>
    </w:p>
    <w:p w:rsidR="00407F00" w:rsidRDefault="00407F00" w:rsidP="00407F00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A continuación se presenta de acuerdo a lo solicitado los diferentes ámbitos de la planificación curricular de la misma.</w:t>
      </w:r>
    </w:p>
    <w:p w:rsidR="00407F00" w:rsidRDefault="00407F00" w:rsidP="00407F00">
      <w:pPr>
        <w:jc w:val="both"/>
        <w:rPr>
          <w:rFonts w:ascii="Verdana" w:hAnsi="Verdana"/>
        </w:rPr>
      </w:pPr>
    </w:p>
    <w:p w:rsidR="00407F00" w:rsidRDefault="00407F00" w:rsidP="00A925CF">
      <w:pPr>
        <w:numPr>
          <w:ilvl w:val="0"/>
          <w:numId w:val="1"/>
        </w:numPr>
        <w:jc w:val="both"/>
        <w:rPr>
          <w:rFonts w:ascii="Verdana" w:hAnsi="Verdana"/>
        </w:rPr>
      </w:pPr>
      <w:r w:rsidRPr="00A925CF">
        <w:rPr>
          <w:rFonts w:ascii="Verdana" w:hAnsi="Verdana"/>
          <w:b/>
        </w:rPr>
        <w:t>Nombre de la Unidad:</w:t>
      </w:r>
      <w:r>
        <w:rPr>
          <w:rFonts w:ascii="Verdana" w:hAnsi="Verdana"/>
        </w:rPr>
        <w:t xml:space="preserve"> Se identifica la temática central a desarrollar en el ámbito de la asignatura, señalando </w:t>
      </w:r>
      <w:r w:rsidR="00A925CF">
        <w:rPr>
          <w:rFonts w:ascii="Verdana" w:hAnsi="Verdana"/>
        </w:rPr>
        <w:t>la posición que ocupa en la planificación. (Unidad I; Unidad II;.....)</w:t>
      </w:r>
    </w:p>
    <w:p w:rsidR="00A925CF" w:rsidRDefault="00A925CF" w:rsidP="00A925CF">
      <w:pPr>
        <w:jc w:val="both"/>
        <w:rPr>
          <w:rFonts w:ascii="Verdana" w:hAnsi="Verdana"/>
        </w:rPr>
      </w:pPr>
    </w:p>
    <w:p w:rsidR="00A925CF" w:rsidRDefault="007C32AD" w:rsidP="00A925CF">
      <w:pPr>
        <w:numPr>
          <w:ilvl w:val="0"/>
          <w:numId w:val="1"/>
        </w:numPr>
        <w:jc w:val="both"/>
        <w:rPr>
          <w:rFonts w:ascii="Verdana" w:hAnsi="Verdana"/>
        </w:rPr>
      </w:pPr>
      <w:r w:rsidRPr="007C32AD">
        <w:rPr>
          <w:rFonts w:ascii="Verdana" w:hAnsi="Verdana"/>
          <w:b/>
        </w:rPr>
        <w:t xml:space="preserve">Resultados de aprendizaje: </w:t>
      </w:r>
      <w:r w:rsidRPr="007C32AD">
        <w:rPr>
          <w:rFonts w:ascii="Verdana" w:hAnsi="Verdana"/>
        </w:rPr>
        <w:t xml:space="preserve">son evidencias observables </w:t>
      </w:r>
      <w:r>
        <w:rPr>
          <w:rFonts w:ascii="Verdana" w:hAnsi="Verdana"/>
        </w:rPr>
        <w:t xml:space="preserve">de lo que un estudiante ha aprendido. En cuanto a aprendizajes son los conocimientos logrados por el aprendiz y que se expresan en resultados. Son una combinación de destrezas, habilidades y de conocimientos que son necesarios para el desempeño de una tarea. </w:t>
      </w:r>
    </w:p>
    <w:p w:rsidR="007C32AD" w:rsidRDefault="007C32AD" w:rsidP="007C32AD">
      <w:pPr>
        <w:ind w:left="360"/>
        <w:jc w:val="both"/>
        <w:rPr>
          <w:rFonts w:ascii="Verdana" w:hAnsi="Verdana"/>
        </w:rPr>
      </w:pPr>
    </w:p>
    <w:p w:rsidR="007C32AD" w:rsidRPr="00E878A5" w:rsidRDefault="007C32AD" w:rsidP="00A925CF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E878A5">
        <w:rPr>
          <w:rFonts w:ascii="Verdana" w:hAnsi="Verdana"/>
          <w:b/>
        </w:rPr>
        <w:t xml:space="preserve">Contenidos </w:t>
      </w:r>
      <w:r w:rsidR="00E878A5" w:rsidRPr="00E878A5">
        <w:rPr>
          <w:rFonts w:ascii="Verdana" w:hAnsi="Verdana"/>
          <w:b/>
        </w:rPr>
        <w:t xml:space="preserve">de la unidad: </w:t>
      </w:r>
      <w:r w:rsidR="00E878A5" w:rsidRPr="00E878A5">
        <w:rPr>
          <w:rFonts w:ascii="Verdana" w:hAnsi="Verdana"/>
        </w:rPr>
        <w:t>Se explicitan</w:t>
      </w:r>
      <w:r w:rsidR="00E878A5">
        <w:rPr>
          <w:rFonts w:ascii="Verdana" w:hAnsi="Verdana"/>
          <w:b/>
        </w:rPr>
        <w:t xml:space="preserve"> </w:t>
      </w:r>
      <w:r w:rsidR="00E878A5">
        <w:rPr>
          <w:rFonts w:ascii="Verdana" w:hAnsi="Verdana"/>
        </w:rPr>
        <w:t xml:space="preserve">cada uno de los contenidos asociados a la unidad a desarrollar. Estos deben presentarse conforme a su tipología. Se tienen así: </w:t>
      </w:r>
    </w:p>
    <w:p w:rsidR="00E878A5" w:rsidRDefault="00E878A5" w:rsidP="00E878A5">
      <w:pPr>
        <w:jc w:val="both"/>
        <w:rPr>
          <w:rFonts w:ascii="Verdana" w:hAnsi="Verdana"/>
          <w:b/>
        </w:rPr>
      </w:pPr>
    </w:p>
    <w:p w:rsidR="00E878A5" w:rsidRDefault="00E878A5" w:rsidP="00E878A5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Contenidos conceptuales (conocimientos/saber)</w:t>
      </w:r>
    </w:p>
    <w:p w:rsidR="00E878A5" w:rsidRDefault="00E878A5" w:rsidP="00E878A5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Contenidos procedimentales: habilidades – destrezas (saber hacer)</w:t>
      </w:r>
    </w:p>
    <w:p w:rsidR="00E878A5" w:rsidRDefault="00E878A5" w:rsidP="00E878A5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Contenidos </w:t>
      </w:r>
      <w:r w:rsidR="00455348">
        <w:rPr>
          <w:rFonts w:ascii="Verdana" w:hAnsi="Verdana"/>
        </w:rPr>
        <w:t xml:space="preserve">actitudinales: </w:t>
      </w:r>
      <w:r>
        <w:rPr>
          <w:rFonts w:ascii="Verdana" w:hAnsi="Verdana"/>
        </w:rPr>
        <w:t xml:space="preserve">valores – principios </w:t>
      </w:r>
      <w:r w:rsidR="00455348">
        <w:rPr>
          <w:rFonts w:ascii="Verdana" w:hAnsi="Verdana"/>
        </w:rPr>
        <w:t>y normas (saber ser)</w:t>
      </w:r>
    </w:p>
    <w:p w:rsidR="00455348" w:rsidRDefault="00455348" w:rsidP="00455348">
      <w:pPr>
        <w:ind w:left="360"/>
        <w:jc w:val="both"/>
        <w:rPr>
          <w:rFonts w:ascii="Verdana" w:hAnsi="Verdana"/>
        </w:rPr>
      </w:pPr>
    </w:p>
    <w:p w:rsidR="00455348" w:rsidRDefault="00455348" w:rsidP="00455348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455348">
        <w:rPr>
          <w:rFonts w:ascii="Verdana" w:hAnsi="Verdana"/>
          <w:b/>
        </w:rPr>
        <w:t>Actividades del profesor: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Se describen las actividades a desarrollar por el profesor(a) al servicio de</w:t>
      </w:r>
      <w:r w:rsidR="00262EFB">
        <w:rPr>
          <w:rFonts w:ascii="Verdana" w:hAnsi="Verdana"/>
        </w:rPr>
        <w:t xml:space="preserve"> la movilización de aprendizajes de los estudiantes.</w:t>
      </w:r>
    </w:p>
    <w:p w:rsidR="00455348" w:rsidRPr="00455348" w:rsidRDefault="00455348" w:rsidP="00455348">
      <w:pPr>
        <w:ind w:left="360"/>
        <w:jc w:val="both"/>
        <w:rPr>
          <w:rFonts w:ascii="Verdana" w:hAnsi="Verdana"/>
          <w:b/>
        </w:rPr>
      </w:pPr>
    </w:p>
    <w:p w:rsidR="00455348" w:rsidRDefault="00455348" w:rsidP="00455348">
      <w:pPr>
        <w:numPr>
          <w:ilvl w:val="0"/>
          <w:numId w:val="1"/>
        </w:numPr>
        <w:jc w:val="both"/>
        <w:rPr>
          <w:rFonts w:ascii="Verdana" w:hAnsi="Verdana"/>
          <w:b/>
        </w:rPr>
      </w:pPr>
      <w:r w:rsidRPr="00455348">
        <w:rPr>
          <w:rFonts w:ascii="Verdana" w:hAnsi="Verdana"/>
          <w:b/>
        </w:rPr>
        <w:t>Actividades de los estudiantes:</w:t>
      </w:r>
      <w:r w:rsidR="00262EFB">
        <w:rPr>
          <w:rFonts w:ascii="Verdana" w:hAnsi="Verdana"/>
          <w:b/>
        </w:rPr>
        <w:t xml:space="preserve"> </w:t>
      </w:r>
      <w:r w:rsidR="00262EFB">
        <w:rPr>
          <w:rFonts w:ascii="Verdana" w:hAnsi="Verdana"/>
        </w:rPr>
        <w:t>Se señalan las actividades que realizan los estudiantes y que permiten movilizar la internalización de los aprendizajes.</w:t>
      </w:r>
    </w:p>
    <w:p w:rsidR="00455348" w:rsidRDefault="00455348" w:rsidP="00455348">
      <w:pPr>
        <w:jc w:val="both"/>
        <w:rPr>
          <w:rFonts w:ascii="Verdana" w:hAnsi="Verdana"/>
          <w:b/>
        </w:rPr>
      </w:pPr>
    </w:p>
    <w:p w:rsidR="00455348" w:rsidRDefault="00455348" w:rsidP="00455348">
      <w:pPr>
        <w:numPr>
          <w:ilvl w:val="0"/>
          <w:numId w:val="1"/>
        </w:numPr>
        <w:jc w:val="both"/>
        <w:rPr>
          <w:rFonts w:ascii="Verdana" w:hAnsi="Verdana"/>
        </w:rPr>
      </w:pPr>
      <w:r w:rsidRPr="00455348">
        <w:rPr>
          <w:rFonts w:ascii="Verdana" w:hAnsi="Verdana"/>
          <w:b/>
        </w:rPr>
        <w:t>criterios e instrumentos de evaluación:</w:t>
      </w:r>
      <w:r w:rsidR="00262EFB">
        <w:rPr>
          <w:rFonts w:ascii="Verdana" w:hAnsi="Verdana"/>
          <w:b/>
        </w:rPr>
        <w:t xml:space="preserve"> </w:t>
      </w:r>
      <w:r w:rsidR="00262EFB" w:rsidRPr="00262EFB">
        <w:rPr>
          <w:rFonts w:ascii="Verdana" w:hAnsi="Verdana"/>
        </w:rPr>
        <w:t xml:space="preserve">Los criterios </w:t>
      </w:r>
      <w:r w:rsidR="00262EFB">
        <w:rPr>
          <w:rFonts w:ascii="Verdana" w:hAnsi="Verdana"/>
        </w:rPr>
        <w:t xml:space="preserve">señalan aspectos objetivos de la evaluación de los aprendizajes de la unidad, y los instrumentos </w:t>
      </w:r>
      <w:r w:rsidR="007636E9">
        <w:rPr>
          <w:rFonts w:ascii="Verdana" w:hAnsi="Verdana"/>
        </w:rPr>
        <w:t>los medios para recoger las evidencias de los aprendizajes alcanzados por los estudiantes.</w:t>
      </w:r>
    </w:p>
    <w:p w:rsidR="007636E9" w:rsidRDefault="007636E9" w:rsidP="007636E9">
      <w:pPr>
        <w:jc w:val="both"/>
        <w:rPr>
          <w:rFonts w:ascii="Verdana" w:hAnsi="Verdana"/>
        </w:rPr>
        <w:sectPr w:rsidR="007636E9" w:rsidSect="007636E9">
          <w:footerReference w:type="even" r:id="rId9"/>
          <w:footerReference w:type="default" r:id="rId10"/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W w:w="1490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396"/>
        <w:gridCol w:w="209"/>
        <w:gridCol w:w="1913"/>
        <w:gridCol w:w="112"/>
        <w:gridCol w:w="2335"/>
        <w:gridCol w:w="2088"/>
        <w:gridCol w:w="1969"/>
        <w:gridCol w:w="581"/>
        <w:gridCol w:w="1155"/>
        <w:gridCol w:w="16"/>
        <w:gridCol w:w="806"/>
        <w:gridCol w:w="1023"/>
        <w:gridCol w:w="252"/>
        <w:gridCol w:w="1093"/>
        <w:gridCol w:w="16"/>
      </w:tblGrid>
      <w:tr w:rsidR="00C20560" w:rsidRPr="007636E9" w:rsidTr="00AD6A83">
        <w:trPr>
          <w:gridAfter w:val="1"/>
          <w:wAfter w:w="16" w:type="dxa"/>
        </w:trPr>
        <w:tc>
          <w:tcPr>
            <w:tcW w:w="942" w:type="dxa"/>
            <w:shd w:val="clear" w:color="auto" w:fill="99CCFF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lastRenderedPageBreak/>
              <w:t>N° Unidad</w:t>
            </w:r>
          </w:p>
        </w:tc>
        <w:tc>
          <w:tcPr>
            <w:tcW w:w="396" w:type="dxa"/>
            <w:shd w:val="clear" w:color="auto" w:fill="99CCFF"/>
            <w:vAlign w:val="center"/>
          </w:tcPr>
          <w:p w:rsidR="007636E9" w:rsidRPr="00521B85" w:rsidRDefault="007636E9" w:rsidP="00D94C85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2122" w:type="dxa"/>
            <w:gridSpan w:val="2"/>
            <w:shd w:val="clear" w:color="auto" w:fill="99CCFF"/>
            <w:vAlign w:val="center"/>
          </w:tcPr>
          <w:p w:rsidR="007636E9" w:rsidRPr="00521B85" w:rsidRDefault="007636E9" w:rsidP="00D94C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 w:val="16"/>
              </w:rPr>
            </w:pPr>
            <w:r w:rsidRPr="00521B85">
              <w:rPr>
                <w:rFonts w:ascii="Verdana" w:hAnsi="Verdana"/>
                <w:b/>
                <w:sz w:val="16"/>
              </w:rPr>
              <w:t>Nombre Unidad</w:t>
            </w:r>
          </w:p>
        </w:tc>
        <w:tc>
          <w:tcPr>
            <w:tcW w:w="7085" w:type="dxa"/>
            <w:gridSpan w:val="5"/>
            <w:shd w:val="clear" w:color="auto" w:fill="99CCFF"/>
            <w:vAlign w:val="center"/>
          </w:tcPr>
          <w:p w:rsidR="007636E9" w:rsidRPr="00521B85" w:rsidRDefault="007636E9" w:rsidP="00D94C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sz w:val="16"/>
              </w:rPr>
            </w:pPr>
            <w:r w:rsidRPr="00521B85">
              <w:rPr>
                <w:rFonts w:ascii="Verdana" w:hAnsi="Verdana"/>
                <w:sz w:val="16"/>
              </w:rPr>
              <w:t>Calidad Educativa: Herramientas para la Gestión Escolar</w:t>
            </w:r>
          </w:p>
        </w:tc>
        <w:tc>
          <w:tcPr>
            <w:tcW w:w="1171" w:type="dxa"/>
            <w:gridSpan w:val="2"/>
            <w:shd w:val="clear" w:color="auto" w:fill="99CCFF"/>
            <w:vAlign w:val="center"/>
          </w:tcPr>
          <w:p w:rsidR="007636E9" w:rsidRPr="00521B85" w:rsidRDefault="007636E9" w:rsidP="00D94C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 w:val="16"/>
              </w:rPr>
            </w:pPr>
            <w:r w:rsidRPr="00521B85">
              <w:rPr>
                <w:rFonts w:ascii="Verdana" w:hAnsi="Verdana"/>
                <w:b/>
                <w:sz w:val="16"/>
              </w:rPr>
              <w:t>N° Semanas</w:t>
            </w:r>
          </w:p>
        </w:tc>
        <w:tc>
          <w:tcPr>
            <w:tcW w:w="806" w:type="dxa"/>
            <w:shd w:val="clear" w:color="auto" w:fill="99CCFF"/>
            <w:vAlign w:val="center"/>
          </w:tcPr>
          <w:p w:rsidR="007636E9" w:rsidRPr="00521B85" w:rsidRDefault="00AF7929" w:rsidP="00D94C85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1275" w:type="dxa"/>
            <w:gridSpan w:val="2"/>
            <w:shd w:val="clear" w:color="auto" w:fill="99CCFF"/>
            <w:vAlign w:val="center"/>
          </w:tcPr>
          <w:p w:rsidR="007636E9" w:rsidRPr="007636E9" w:rsidRDefault="007636E9" w:rsidP="00D94C8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</w:rPr>
            </w:pPr>
            <w:r w:rsidRPr="007636E9">
              <w:rPr>
                <w:rFonts w:ascii="Verdana" w:hAnsi="Verdana"/>
                <w:b/>
              </w:rPr>
              <w:t>Hrs. Pedag.</w:t>
            </w:r>
          </w:p>
        </w:tc>
        <w:tc>
          <w:tcPr>
            <w:tcW w:w="1093" w:type="dxa"/>
            <w:shd w:val="clear" w:color="auto" w:fill="99CCFF"/>
            <w:vAlign w:val="center"/>
          </w:tcPr>
          <w:p w:rsidR="007636E9" w:rsidRPr="007636E9" w:rsidRDefault="00AF7929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hrs</w:t>
            </w:r>
          </w:p>
        </w:tc>
      </w:tr>
      <w:tr w:rsidR="00C20560" w:rsidRPr="007636E9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547" w:type="dxa"/>
            <w:gridSpan w:val="3"/>
            <w:vMerge w:val="restart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Resultados de Aprendizaje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  <w:u w:val="single"/>
              </w:rPr>
              <w:t>Contenidos Conceptuales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(Conocimientos)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(Saber)</w:t>
            </w:r>
          </w:p>
        </w:tc>
        <w:tc>
          <w:tcPr>
            <w:tcW w:w="2335" w:type="dxa"/>
            <w:vMerge w:val="restart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  <w:u w:val="single"/>
              </w:rPr>
              <w:t>Procedimientos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Habilidades - Destrezas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(Saber hacer)</w:t>
            </w:r>
          </w:p>
        </w:tc>
        <w:tc>
          <w:tcPr>
            <w:tcW w:w="2088" w:type="dxa"/>
            <w:vMerge w:val="restart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  <w:u w:val="single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  <w:u w:val="single"/>
              </w:rPr>
              <w:t>Actitudes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Valores - Principios y Normas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 xml:space="preserve"> (Saber Ser)</w:t>
            </w:r>
          </w:p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</w:p>
        </w:tc>
        <w:tc>
          <w:tcPr>
            <w:tcW w:w="3705" w:type="dxa"/>
            <w:gridSpan w:val="3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Desarrollo de actividades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Criterios e Instrumento de Evaluación</w:t>
            </w:r>
          </w:p>
        </w:tc>
        <w:tc>
          <w:tcPr>
            <w:tcW w:w="1361" w:type="dxa"/>
            <w:gridSpan w:val="3"/>
            <w:vMerge w:val="restart"/>
            <w:vAlign w:val="center"/>
          </w:tcPr>
          <w:p w:rsidR="007636E9" w:rsidRPr="007636E9" w:rsidRDefault="007636E9" w:rsidP="003E42C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636E9">
              <w:rPr>
                <w:rFonts w:ascii="Verdana" w:hAnsi="Verdana"/>
                <w:b/>
                <w:sz w:val="20"/>
                <w:szCs w:val="20"/>
              </w:rPr>
              <w:t>(Hrs. pedagóg.)</w:t>
            </w:r>
          </w:p>
        </w:tc>
      </w:tr>
      <w:tr w:rsidR="00C20560" w:rsidRPr="007636E9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</w:trPr>
        <w:tc>
          <w:tcPr>
            <w:tcW w:w="1547" w:type="dxa"/>
            <w:gridSpan w:val="3"/>
            <w:vMerge/>
          </w:tcPr>
          <w:p w:rsidR="007636E9" w:rsidRPr="00521B85" w:rsidRDefault="007636E9" w:rsidP="003E42C9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25" w:type="dxa"/>
            <w:gridSpan w:val="2"/>
            <w:vMerge/>
          </w:tcPr>
          <w:p w:rsidR="007636E9" w:rsidRPr="00521B85" w:rsidRDefault="007636E9" w:rsidP="003E42C9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335" w:type="dxa"/>
            <w:vMerge/>
          </w:tcPr>
          <w:p w:rsidR="007636E9" w:rsidRPr="00521B85" w:rsidRDefault="007636E9" w:rsidP="003E42C9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88" w:type="dxa"/>
            <w:vMerge/>
          </w:tcPr>
          <w:p w:rsidR="007636E9" w:rsidRPr="00521B85" w:rsidRDefault="007636E9" w:rsidP="003E42C9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Profesor</w:t>
            </w:r>
          </w:p>
        </w:tc>
        <w:tc>
          <w:tcPr>
            <w:tcW w:w="1736" w:type="dxa"/>
            <w:gridSpan w:val="2"/>
            <w:vAlign w:val="center"/>
          </w:tcPr>
          <w:p w:rsidR="007636E9" w:rsidRPr="00521B85" w:rsidRDefault="007636E9" w:rsidP="003E42C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521B85">
              <w:rPr>
                <w:rFonts w:ascii="Verdana" w:hAnsi="Verdana"/>
                <w:b/>
                <w:sz w:val="16"/>
                <w:szCs w:val="20"/>
              </w:rPr>
              <w:t>Estudiante</w:t>
            </w:r>
          </w:p>
        </w:tc>
        <w:tc>
          <w:tcPr>
            <w:tcW w:w="1845" w:type="dxa"/>
            <w:gridSpan w:val="3"/>
            <w:vMerge/>
          </w:tcPr>
          <w:p w:rsidR="007636E9" w:rsidRPr="00521B85" w:rsidRDefault="007636E9" w:rsidP="003E42C9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361" w:type="dxa"/>
            <w:gridSpan w:val="3"/>
            <w:vMerge/>
          </w:tcPr>
          <w:p w:rsidR="007636E9" w:rsidRPr="007636E9" w:rsidRDefault="007636E9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4C85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74"/>
        </w:trPr>
        <w:tc>
          <w:tcPr>
            <w:tcW w:w="1547" w:type="dxa"/>
            <w:gridSpan w:val="3"/>
          </w:tcPr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Distingue con claridad los elementos centrales que caracterizan las herramientas disponibles para la gestión escolar al servicio de la calidad educativa.</w:t>
            </w:r>
          </w:p>
        </w:tc>
        <w:tc>
          <w:tcPr>
            <w:tcW w:w="2025" w:type="dxa"/>
            <w:gridSpan w:val="2"/>
          </w:tcPr>
          <w:p w:rsidR="00D94C85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Estructura del Marco para la Buena Enseñanza. (dominios, criterios, descriptores)</w:t>
            </w:r>
          </w:p>
          <w:p w:rsidR="00D94C85" w:rsidRPr="00521B85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335" w:type="dxa"/>
          </w:tcPr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19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Descripción  de responsabilidades docentes asociadas a cada uno de los dominios del Marco para la Buena Enseñanza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88" w:type="dxa"/>
          </w:tcPr>
          <w:p w:rsidR="00D94C85" w:rsidRDefault="00D94C85" w:rsidP="00D94C85">
            <w:pPr>
              <w:ind w:left="9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9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9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Reflexión crítica del rol docente.</w:t>
            </w:r>
          </w:p>
          <w:p w:rsidR="00D94C85" w:rsidRPr="00521B85" w:rsidRDefault="00D94C85" w:rsidP="00D94C85">
            <w:pPr>
              <w:ind w:left="9"/>
              <w:jc w:val="both"/>
              <w:rPr>
                <w:sz w:val="16"/>
              </w:rPr>
            </w:pPr>
          </w:p>
          <w:p w:rsidR="00D94C85" w:rsidRPr="00521B85" w:rsidRDefault="00D94C85" w:rsidP="00D94C85">
            <w:pPr>
              <w:ind w:left="9"/>
              <w:jc w:val="both"/>
              <w:rPr>
                <w:sz w:val="16"/>
              </w:rPr>
            </w:pPr>
          </w:p>
          <w:p w:rsidR="00D94C85" w:rsidRPr="00521B85" w:rsidRDefault="00D94C85" w:rsidP="00D94C85">
            <w:pPr>
              <w:ind w:left="9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969" w:type="dxa"/>
          </w:tcPr>
          <w:p w:rsidR="00D94C85" w:rsidRDefault="00D94C85" w:rsidP="00D94C85">
            <w:pPr>
              <w:ind w:left="-37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-37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-37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Organiza información relevante a los planteamientos abordados.</w:t>
            </w:r>
          </w:p>
          <w:p w:rsidR="00D94C85" w:rsidRPr="00521B85" w:rsidRDefault="00D94C85" w:rsidP="00D94C85">
            <w:pPr>
              <w:ind w:left="-37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-37"/>
              <w:jc w:val="both"/>
              <w:rPr>
                <w:sz w:val="16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Retroalimenta los aportes de los estudiantes</w:t>
            </w:r>
            <w:r w:rsidRPr="00521B85">
              <w:rPr>
                <w:sz w:val="16"/>
              </w:rPr>
              <w:t>.</w:t>
            </w:r>
          </w:p>
          <w:p w:rsidR="00D94C85" w:rsidRPr="00521B85" w:rsidRDefault="00D94C85" w:rsidP="00D94C85">
            <w:pPr>
              <w:ind w:left="-37"/>
              <w:jc w:val="both"/>
              <w:rPr>
                <w:sz w:val="16"/>
              </w:rPr>
            </w:pPr>
          </w:p>
          <w:p w:rsidR="00D94C85" w:rsidRPr="00521B85" w:rsidRDefault="00D94C85" w:rsidP="00D94C85">
            <w:pPr>
              <w:ind w:left="-37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Entrega textos y artículos seleccionados para la lectura individual y grupal.</w:t>
            </w:r>
          </w:p>
        </w:tc>
        <w:tc>
          <w:tcPr>
            <w:tcW w:w="1736" w:type="dxa"/>
            <w:gridSpan w:val="2"/>
          </w:tcPr>
          <w:p w:rsidR="00D94C85" w:rsidRDefault="00D94C85" w:rsidP="00D94C85">
            <w:pPr>
              <w:ind w:left="5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5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5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Realización de lecturas individuales y grupales.</w:t>
            </w:r>
          </w:p>
          <w:p w:rsidR="00D94C85" w:rsidRPr="00521B85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5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Participa de plenarios y exposiciones grupales e individuales</w:t>
            </w:r>
            <w:r w:rsidRPr="00521B85">
              <w:rPr>
                <w:sz w:val="16"/>
              </w:rPr>
              <w:t>.</w:t>
            </w:r>
          </w:p>
        </w:tc>
        <w:tc>
          <w:tcPr>
            <w:tcW w:w="1845" w:type="dxa"/>
            <w:gridSpan w:val="3"/>
          </w:tcPr>
          <w:p w:rsid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  <w:r w:rsidRPr="00521B85">
              <w:rPr>
                <w:rFonts w:ascii="Verdana" w:hAnsi="Verdana"/>
                <w:sz w:val="16"/>
                <w:szCs w:val="20"/>
                <w:u w:val="single"/>
              </w:rPr>
              <w:t xml:space="preserve">Criterios: 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Capacidad de argumentación.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Responsabilidad en la tarea.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Empleo de lenguaje técnico.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  <w:r w:rsidRPr="00521B85">
              <w:rPr>
                <w:rFonts w:ascii="Verdana" w:hAnsi="Verdana"/>
                <w:sz w:val="16"/>
                <w:szCs w:val="20"/>
                <w:u w:val="single"/>
              </w:rPr>
              <w:t>Instrumentos: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Pautas de evaluación de talleres.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Ficha de lectura individual.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</w:p>
        </w:tc>
        <w:tc>
          <w:tcPr>
            <w:tcW w:w="1361" w:type="dxa"/>
            <w:gridSpan w:val="3"/>
          </w:tcPr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Pr="006D1BF9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1BF9">
              <w:rPr>
                <w:rFonts w:ascii="Verdana" w:hAnsi="Verdana"/>
                <w:sz w:val="20"/>
                <w:szCs w:val="20"/>
              </w:rPr>
              <w:t>4</w:t>
            </w:r>
          </w:p>
          <w:p w:rsidR="00D94C85" w:rsidRPr="006D1BF9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4C85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7" w:type="dxa"/>
            <w:gridSpan w:val="3"/>
          </w:tcPr>
          <w:p w:rsidR="00D94C85" w:rsidRPr="00521B85" w:rsidRDefault="00D94C85" w:rsidP="003E42C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25" w:type="dxa"/>
            <w:gridSpan w:val="2"/>
          </w:tcPr>
          <w:p w:rsidR="00D94C85" w:rsidRP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ind w:left="18"/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Estructura Marco para la Buena Dirección</w:t>
            </w:r>
          </w:p>
        </w:tc>
        <w:tc>
          <w:tcPr>
            <w:tcW w:w="2335" w:type="dxa"/>
          </w:tcPr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60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Identificación de cada una de las tareas asociadas a los ámbitos de acción directiva</w:t>
            </w:r>
          </w:p>
          <w:p w:rsidR="00D94C85" w:rsidRPr="00521B85" w:rsidRDefault="00D94C85" w:rsidP="00D94C85">
            <w:pPr>
              <w:ind w:left="5"/>
              <w:jc w:val="both"/>
              <w:rPr>
                <w:sz w:val="16"/>
              </w:rPr>
            </w:pPr>
          </w:p>
        </w:tc>
        <w:tc>
          <w:tcPr>
            <w:tcW w:w="2088" w:type="dxa"/>
          </w:tcPr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ind w:left="40"/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Valoración del liderazgo educativo escolar para una gestión de calidad.</w:t>
            </w:r>
          </w:p>
          <w:p w:rsidR="00D94C85" w:rsidRPr="00521B85" w:rsidRDefault="00D94C85" w:rsidP="00D94C85">
            <w:pPr>
              <w:ind w:left="9"/>
              <w:jc w:val="both"/>
              <w:rPr>
                <w:sz w:val="16"/>
              </w:rPr>
            </w:pPr>
          </w:p>
        </w:tc>
        <w:tc>
          <w:tcPr>
            <w:tcW w:w="1969" w:type="dxa"/>
          </w:tcPr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521B85">
              <w:rPr>
                <w:rFonts w:ascii="Verdana" w:hAnsi="Verdana"/>
                <w:sz w:val="16"/>
                <w:szCs w:val="20"/>
              </w:rPr>
              <w:t>Elabora guías de ejercicios para la realización de talleres.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Retroalimenta los resultados del trabajo de los estudiantes</w:t>
            </w:r>
          </w:p>
        </w:tc>
        <w:tc>
          <w:tcPr>
            <w:tcW w:w="1736" w:type="dxa"/>
            <w:gridSpan w:val="2"/>
          </w:tcPr>
          <w:p w:rsidR="00D94C85" w:rsidRP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Resuelve ejercicios de aplicación de contenidos.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-Participa en puestas en común.</w:t>
            </w:r>
          </w:p>
          <w:p w:rsidR="00D94C85" w:rsidRPr="00521B85" w:rsidRDefault="00D94C85" w:rsidP="00D94C85">
            <w:pPr>
              <w:jc w:val="both"/>
              <w:rPr>
                <w:sz w:val="16"/>
              </w:rPr>
            </w:pPr>
          </w:p>
        </w:tc>
        <w:tc>
          <w:tcPr>
            <w:tcW w:w="1845" w:type="dxa"/>
            <w:gridSpan w:val="3"/>
          </w:tcPr>
          <w:p w:rsidR="00D94C85" w:rsidRPr="00D94C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  <w:r w:rsidRPr="00D94C85">
              <w:rPr>
                <w:rFonts w:ascii="Verdana" w:hAnsi="Verdana"/>
                <w:sz w:val="16"/>
                <w:szCs w:val="20"/>
                <w:u w:val="single"/>
              </w:rPr>
              <w:t>Criterios:</w:t>
            </w: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Capacidad de aplicación de conceptos.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 xml:space="preserve">Cumplimiento de tareas asignadas. 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  <w:u w:val="single"/>
              </w:rPr>
            </w:pPr>
            <w:r w:rsidRPr="00D94C85">
              <w:rPr>
                <w:rFonts w:ascii="Verdana" w:hAnsi="Verdana"/>
                <w:sz w:val="16"/>
                <w:szCs w:val="20"/>
                <w:u w:val="single"/>
              </w:rPr>
              <w:t>Instrumentos: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D94C85" w:rsidRP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  <w:r w:rsidRPr="00D94C85">
              <w:rPr>
                <w:rFonts w:ascii="Verdana" w:hAnsi="Verdana"/>
                <w:sz w:val="16"/>
                <w:szCs w:val="20"/>
              </w:rPr>
              <w:t>Guías de ejercicios de aplicación de contenidos.</w:t>
            </w:r>
          </w:p>
          <w:p w:rsidR="00D94C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  <w:p w:rsidR="00AD6A83" w:rsidRPr="00521B85" w:rsidRDefault="00AD6A83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D94C8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1BF9">
              <w:rPr>
                <w:rFonts w:ascii="Verdana" w:hAnsi="Verdana"/>
                <w:sz w:val="20"/>
                <w:szCs w:val="20"/>
              </w:rPr>
              <w:t>4</w:t>
            </w:r>
          </w:p>
          <w:p w:rsidR="00D94C85" w:rsidRPr="006D1BF9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4C85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7" w:type="dxa"/>
            <w:gridSpan w:val="3"/>
          </w:tcPr>
          <w:p w:rsidR="00D94C85" w:rsidRPr="00521B85" w:rsidRDefault="00D94C85" w:rsidP="003E42C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25" w:type="dxa"/>
            <w:gridSpan w:val="2"/>
          </w:tcPr>
          <w:p w:rsidR="00AD6A83" w:rsidRDefault="00AD6A83" w:rsidP="00D94C85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D94C85">
            <w:pPr>
              <w:ind w:left="34"/>
              <w:jc w:val="both"/>
              <w:rPr>
                <w:rFonts w:ascii="Verdana" w:hAnsi="Verdana"/>
                <w:sz w:val="8"/>
                <w:szCs w:val="16"/>
              </w:rPr>
            </w:pPr>
          </w:p>
          <w:p w:rsidR="00D94C85" w:rsidRPr="00A238B9" w:rsidRDefault="00D94C85" w:rsidP="00D94C85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Estructura Modelo SACGE (sistema de aseguramiento de la calidad de la gestión escolar)</w:t>
            </w:r>
          </w:p>
          <w:p w:rsidR="00D94C85" w:rsidRPr="00A238B9" w:rsidRDefault="00D94C85" w:rsidP="00D94C85">
            <w:pPr>
              <w:ind w:left="3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</w:tcPr>
          <w:p w:rsidR="00AD6A83" w:rsidRDefault="00AD6A83" w:rsidP="00D94C85">
            <w:pPr>
              <w:ind w:left="19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D94C85">
            <w:pPr>
              <w:ind w:left="19"/>
              <w:jc w:val="both"/>
              <w:rPr>
                <w:rFonts w:ascii="Verdana" w:hAnsi="Verdana"/>
                <w:sz w:val="10"/>
                <w:szCs w:val="16"/>
              </w:rPr>
            </w:pPr>
          </w:p>
          <w:p w:rsidR="00D94C85" w:rsidRPr="00A238B9" w:rsidRDefault="00D94C85" w:rsidP="00D94C85">
            <w:pPr>
              <w:ind w:left="19"/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Asociación de cada una de las áreas y dimensiones del modelo SACGE con los elementos de gestión que las implican.</w:t>
            </w:r>
          </w:p>
          <w:p w:rsidR="00D94C85" w:rsidRPr="00A238B9" w:rsidRDefault="00D94C85" w:rsidP="00D94C85">
            <w:pPr>
              <w:ind w:left="5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4C85" w:rsidRPr="00521B85" w:rsidRDefault="00D94C85" w:rsidP="00D94C85">
            <w:pPr>
              <w:ind w:left="360"/>
              <w:jc w:val="both"/>
              <w:rPr>
                <w:sz w:val="16"/>
              </w:rPr>
            </w:pPr>
          </w:p>
        </w:tc>
        <w:tc>
          <w:tcPr>
            <w:tcW w:w="2088" w:type="dxa"/>
          </w:tcPr>
          <w:p w:rsidR="00AD6A83" w:rsidRDefault="00AD6A83" w:rsidP="00D94C85">
            <w:pPr>
              <w:ind w:left="5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D94C85">
            <w:pPr>
              <w:ind w:left="56"/>
              <w:jc w:val="both"/>
              <w:rPr>
                <w:rFonts w:ascii="Verdana" w:hAnsi="Verdana"/>
                <w:sz w:val="10"/>
                <w:szCs w:val="16"/>
              </w:rPr>
            </w:pPr>
          </w:p>
          <w:p w:rsidR="00D94C85" w:rsidRPr="00A238B9" w:rsidRDefault="00D94C85" w:rsidP="00D94C85">
            <w:pPr>
              <w:ind w:left="56"/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Interés por generar trabajo colaborativo en la búsqueda de información.</w:t>
            </w:r>
          </w:p>
          <w:p w:rsidR="00D94C85" w:rsidRPr="00A238B9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4C85" w:rsidRPr="00521B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969" w:type="dxa"/>
          </w:tcPr>
          <w:p w:rsidR="00AD6A83" w:rsidRDefault="00AD6A83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D94C85">
            <w:pPr>
              <w:ind w:left="-16"/>
              <w:jc w:val="both"/>
              <w:rPr>
                <w:rFonts w:ascii="Verdana" w:hAnsi="Verdana"/>
                <w:sz w:val="10"/>
                <w:szCs w:val="16"/>
              </w:rPr>
            </w:pPr>
          </w:p>
          <w:p w:rsidR="00D94C85" w:rsidRPr="00A238B9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Incorpora herramientas de evaluación para los aprendizajes de carácter multimedial. ( construcción de organizadores gráficos, con programa Cmaptool)</w:t>
            </w:r>
          </w:p>
          <w:p w:rsidR="00D94C85" w:rsidRPr="00A238B9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4C85" w:rsidRPr="00521B85" w:rsidRDefault="00D94C85" w:rsidP="00D94C85">
            <w:pPr>
              <w:ind w:left="360"/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736" w:type="dxa"/>
            <w:gridSpan w:val="2"/>
          </w:tcPr>
          <w:p w:rsidR="00AD6A83" w:rsidRDefault="00AD6A83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D94C85">
            <w:pPr>
              <w:ind w:left="-16"/>
              <w:jc w:val="both"/>
              <w:rPr>
                <w:rFonts w:ascii="Verdana" w:hAnsi="Verdana"/>
                <w:sz w:val="10"/>
                <w:szCs w:val="16"/>
              </w:rPr>
            </w:pPr>
          </w:p>
          <w:p w:rsidR="00D94C85" w:rsidRPr="00A238B9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Aplica organizadores gráficos para la asociación y organización de información.</w:t>
            </w:r>
          </w:p>
          <w:p w:rsidR="00D94C85" w:rsidRPr="00A238B9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94C85" w:rsidRPr="00521B85" w:rsidRDefault="00D94C85" w:rsidP="00D94C85">
            <w:pPr>
              <w:ind w:left="-16"/>
              <w:jc w:val="both"/>
              <w:rPr>
                <w:rFonts w:ascii="Verdana" w:hAnsi="Verdana"/>
                <w:sz w:val="16"/>
                <w:szCs w:val="20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Expone ideas centrales de temáticas desarrolladas.</w:t>
            </w:r>
          </w:p>
        </w:tc>
        <w:tc>
          <w:tcPr>
            <w:tcW w:w="1845" w:type="dxa"/>
            <w:gridSpan w:val="3"/>
          </w:tcPr>
          <w:p w:rsidR="00AD6A83" w:rsidRPr="00AD6A83" w:rsidRDefault="00AD6A83" w:rsidP="00D94C85">
            <w:pPr>
              <w:jc w:val="both"/>
              <w:rPr>
                <w:rFonts w:ascii="Verdana" w:hAnsi="Verdana"/>
                <w:sz w:val="10"/>
                <w:szCs w:val="16"/>
                <w:u w:val="single"/>
              </w:rPr>
            </w:pPr>
          </w:p>
          <w:p w:rsidR="00D94C85" w:rsidRPr="00A238B9" w:rsidRDefault="00D94C85" w:rsidP="00D94C85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238B9">
              <w:rPr>
                <w:rFonts w:ascii="Verdana" w:hAnsi="Verdana"/>
                <w:sz w:val="16"/>
                <w:szCs w:val="16"/>
                <w:u w:val="single"/>
              </w:rPr>
              <w:t xml:space="preserve">Criterios: </w:t>
            </w:r>
          </w:p>
          <w:p w:rsidR="00D94C85" w:rsidRPr="00A238B9" w:rsidRDefault="00D94C85" w:rsidP="00D94C85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94C85" w:rsidRPr="00A238B9" w:rsidRDefault="00D94C85" w:rsidP="00D94C8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Capacidad para organizar información sintéticamente.</w:t>
            </w:r>
          </w:p>
          <w:p w:rsidR="00D94C85" w:rsidRPr="00AD6A83" w:rsidRDefault="00D94C85" w:rsidP="00D94C85">
            <w:pPr>
              <w:jc w:val="both"/>
              <w:rPr>
                <w:rFonts w:ascii="Verdana" w:hAnsi="Verdana"/>
                <w:sz w:val="10"/>
                <w:szCs w:val="16"/>
              </w:rPr>
            </w:pPr>
          </w:p>
          <w:p w:rsidR="00D94C85" w:rsidRPr="00A238B9" w:rsidRDefault="00D94C85" w:rsidP="00D94C85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238B9">
              <w:rPr>
                <w:rFonts w:ascii="Verdana" w:hAnsi="Verdana"/>
                <w:sz w:val="16"/>
                <w:szCs w:val="16"/>
                <w:u w:val="single"/>
              </w:rPr>
              <w:t>Instrumentos:</w:t>
            </w:r>
          </w:p>
          <w:p w:rsidR="00D94C85" w:rsidRDefault="00D94C85" w:rsidP="00D94C8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Mapa conceptual con programa Cmaptool.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238B9">
              <w:rPr>
                <w:rFonts w:ascii="Verdana" w:hAnsi="Verdana"/>
                <w:sz w:val="16"/>
                <w:szCs w:val="16"/>
              </w:rPr>
              <w:t>(generado por los estudiantes.)</w:t>
            </w:r>
          </w:p>
          <w:p w:rsidR="00AD6A83" w:rsidRPr="00A238B9" w:rsidRDefault="00470B01" w:rsidP="00D94C8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Visitar sitio Web con mapa asignado como guía.</w:t>
            </w:r>
          </w:p>
          <w:p w:rsidR="00D94C85" w:rsidRPr="00521B85" w:rsidRDefault="00D94C85" w:rsidP="00D94C85">
            <w:pPr>
              <w:jc w:val="both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361" w:type="dxa"/>
            <w:gridSpan w:val="3"/>
          </w:tcPr>
          <w:p w:rsidR="00D94C85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94C85" w:rsidRPr="00A238B9" w:rsidRDefault="00D94C85" w:rsidP="00D94C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38B9">
              <w:rPr>
                <w:rFonts w:ascii="Verdana" w:hAnsi="Verdana"/>
                <w:sz w:val="16"/>
                <w:szCs w:val="16"/>
              </w:rPr>
              <w:t>4</w:t>
            </w:r>
          </w:p>
          <w:p w:rsidR="00D94C85" w:rsidRPr="006D1BF9" w:rsidRDefault="00D94C85" w:rsidP="003E42C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D6A83" w:rsidTr="00AD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547" w:type="dxa"/>
            <w:gridSpan w:val="3"/>
          </w:tcPr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  <w:p w:rsidR="00AD6A83" w:rsidRPr="00521B85" w:rsidRDefault="00AD6A83" w:rsidP="003E42C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025" w:type="dxa"/>
            <w:gridSpan w:val="2"/>
          </w:tcPr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47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Proyecto educativo institucional.</w:t>
            </w:r>
          </w:p>
          <w:p w:rsidR="00AD6A83" w:rsidRPr="00AD6A83" w:rsidRDefault="00AD6A83" w:rsidP="00AD6A83">
            <w:pPr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5" w:type="dxa"/>
          </w:tcPr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6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Aplicación de una pauta diagnóstica de PEI, y justificación del mismo desde una experiencia real de diseño de Proyecto Educativo Institucional de una institución escolar.</w:t>
            </w:r>
          </w:p>
          <w:p w:rsidR="00AD6A83" w:rsidRPr="00AD6A83" w:rsidRDefault="00AD6A83" w:rsidP="00AD6A83">
            <w:pPr>
              <w:ind w:left="19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8" w:type="dxa"/>
          </w:tcPr>
          <w:p w:rsidR="00AD6A83" w:rsidRP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5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56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Respeto y análisis crítico de la realidad educativa</w:t>
            </w:r>
          </w:p>
        </w:tc>
        <w:tc>
          <w:tcPr>
            <w:tcW w:w="1969" w:type="dxa"/>
          </w:tcPr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119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Propicia instancias de discusión y reflexión sobre la realidad de la calidad educacional.</w:t>
            </w:r>
          </w:p>
          <w:p w:rsidR="00AD6A83" w:rsidRPr="00AD6A83" w:rsidRDefault="00AD6A83" w:rsidP="00AD6A83">
            <w:pPr>
              <w:ind w:left="119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119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Dispone recursos impresos y paginas digitales con apoyo de videos para la discusión.</w:t>
            </w:r>
          </w:p>
          <w:p w:rsidR="00AD6A83" w:rsidRPr="00AD6A83" w:rsidRDefault="00AD6A83" w:rsidP="00AD6A83">
            <w:pPr>
              <w:ind w:left="119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119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Retroalimenta exposición de los estudiantes.</w:t>
            </w:r>
          </w:p>
          <w:p w:rsidR="00AD6A83" w:rsidRPr="00AD6A83" w:rsidRDefault="00AD6A83" w:rsidP="00AD6A83">
            <w:pPr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6" w:type="dxa"/>
            <w:gridSpan w:val="2"/>
          </w:tcPr>
          <w:p w:rsid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</w:t>
            </w:r>
            <w:r w:rsidRPr="00AD6A83">
              <w:rPr>
                <w:rFonts w:ascii="Verdana" w:hAnsi="Verdana"/>
                <w:sz w:val="16"/>
                <w:szCs w:val="16"/>
              </w:rPr>
              <w:t>ecoge y selecciona informaciones relevantes al ámbito de los contenidos desarrollados</w:t>
            </w: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Aplica instrumentos de diagnóstico de la gestión escolar.</w:t>
            </w: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Reflexiona sobre los hallazgos analizando recursos impresos y digitales</w:t>
            </w:r>
          </w:p>
          <w:p w:rsidR="00AD6A83" w:rsidRPr="00AD6A83" w:rsidRDefault="00AD6A83" w:rsidP="00AD6A83">
            <w:pPr>
              <w:ind w:left="-16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5" w:type="dxa"/>
            <w:gridSpan w:val="3"/>
          </w:tcPr>
          <w:p w:rsid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D6A83">
              <w:rPr>
                <w:rFonts w:ascii="Verdana" w:hAnsi="Verdana"/>
                <w:sz w:val="16"/>
                <w:szCs w:val="16"/>
                <w:u w:val="single"/>
              </w:rPr>
              <w:t>Criterios: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Habilidad para recoger y seleccionar información.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Capacidad Crítica y reflexiva.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 w:rsidRPr="00AD6A83">
              <w:rPr>
                <w:rFonts w:ascii="Verdana" w:hAnsi="Verdana"/>
                <w:sz w:val="16"/>
                <w:szCs w:val="16"/>
                <w:u w:val="single"/>
              </w:rPr>
              <w:t>Instrumentos: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Rubrica de diagnóstico evaluativo.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Pauta de Autoevaluación</w:t>
            </w: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AD6A83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1361" w:type="dxa"/>
            <w:gridSpan w:val="3"/>
          </w:tcPr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6A83" w:rsidRPr="00AD6A83" w:rsidRDefault="00AD6A83" w:rsidP="003E42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D6A83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</w:tbl>
    <w:p w:rsidR="007636E9" w:rsidRDefault="007636E9" w:rsidP="007636E9">
      <w:pPr>
        <w:jc w:val="both"/>
        <w:rPr>
          <w:rFonts w:ascii="Verdana" w:hAnsi="Verdana"/>
        </w:rPr>
      </w:pPr>
    </w:p>
    <w:p w:rsidR="007636E9" w:rsidRPr="00262EFB" w:rsidRDefault="007636E9" w:rsidP="007636E9">
      <w:pPr>
        <w:ind w:left="360"/>
        <w:jc w:val="both"/>
        <w:rPr>
          <w:rFonts w:ascii="Verdana" w:hAnsi="Verdana"/>
        </w:rPr>
      </w:pPr>
    </w:p>
    <w:sectPr w:rsidR="007636E9" w:rsidRPr="00262EFB" w:rsidSect="00AD6A83">
      <w:pgSz w:w="15842" w:h="12242" w:orient="landscape" w:code="1"/>
      <w:pgMar w:top="1276" w:right="1134" w:bottom="567" w:left="1985" w:header="709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8E" w:rsidRDefault="001B5F8E">
      <w:r>
        <w:separator/>
      </w:r>
    </w:p>
  </w:endnote>
  <w:endnote w:type="continuationSeparator" w:id="1">
    <w:p w:rsidR="001B5F8E" w:rsidRDefault="001B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5B" w:rsidRDefault="00AA5263" w:rsidP="003C07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655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655B" w:rsidRDefault="002E655B" w:rsidP="002E655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5B" w:rsidRDefault="00AA5263" w:rsidP="003C07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E655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0B0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E655B" w:rsidRDefault="002E655B" w:rsidP="002E655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8E" w:rsidRDefault="001B5F8E">
      <w:r>
        <w:separator/>
      </w:r>
    </w:p>
  </w:footnote>
  <w:footnote w:type="continuationSeparator" w:id="1">
    <w:p w:rsidR="001B5F8E" w:rsidRDefault="001B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126"/>
    <w:multiLevelType w:val="hybridMultilevel"/>
    <w:tmpl w:val="35F43F14"/>
    <w:lvl w:ilvl="0" w:tplc="CEF40EFE">
      <w:start w:val="1"/>
      <w:numFmt w:val="bullet"/>
      <w:lvlText w:val=""/>
      <w:lvlJc w:val="left"/>
      <w:pPr>
        <w:tabs>
          <w:tab w:val="num" w:pos="644"/>
        </w:tabs>
        <w:ind w:left="360" w:firstLine="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5A34A2"/>
    <w:multiLevelType w:val="hybridMultilevel"/>
    <w:tmpl w:val="896C980A"/>
    <w:lvl w:ilvl="0" w:tplc="3A92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52EA0"/>
    <w:multiLevelType w:val="hybridMultilevel"/>
    <w:tmpl w:val="C49637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C2756"/>
    <w:multiLevelType w:val="hybridMultilevel"/>
    <w:tmpl w:val="B972C882"/>
    <w:lvl w:ilvl="0" w:tplc="9528A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06B"/>
    <w:rsid w:val="00015B73"/>
    <w:rsid w:val="00021FCE"/>
    <w:rsid w:val="0002558A"/>
    <w:rsid w:val="000402D8"/>
    <w:rsid w:val="00043524"/>
    <w:rsid w:val="00043711"/>
    <w:rsid w:val="0006043E"/>
    <w:rsid w:val="00060B75"/>
    <w:rsid w:val="000700AE"/>
    <w:rsid w:val="00083EEF"/>
    <w:rsid w:val="00086EA7"/>
    <w:rsid w:val="000928FD"/>
    <w:rsid w:val="000C65C7"/>
    <w:rsid w:val="000C79D8"/>
    <w:rsid w:val="000D3BD0"/>
    <w:rsid w:val="000E2D8B"/>
    <w:rsid w:val="000E59F0"/>
    <w:rsid w:val="000F26C9"/>
    <w:rsid w:val="00102737"/>
    <w:rsid w:val="00122776"/>
    <w:rsid w:val="00125DBB"/>
    <w:rsid w:val="00130824"/>
    <w:rsid w:val="00141A8B"/>
    <w:rsid w:val="00142A58"/>
    <w:rsid w:val="00147E6A"/>
    <w:rsid w:val="001501BE"/>
    <w:rsid w:val="0015369C"/>
    <w:rsid w:val="0017700D"/>
    <w:rsid w:val="001929D2"/>
    <w:rsid w:val="0019729B"/>
    <w:rsid w:val="001B5682"/>
    <w:rsid w:val="001B5F8E"/>
    <w:rsid w:val="001C1451"/>
    <w:rsid w:val="001C21ED"/>
    <w:rsid w:val="001C2242"/>
    <w:rsid w:val="001C56D3"/>
    <w:rsid w:val="001C75B4"/>
    <w:rsid w:val="001F08BE"/>
    <w:rsid w:val="001F58AE"/>
    <w:rsid w:val="0020481E"/>
    <w:rsid w:val="002065F0"/>
    <w:rsid w:val="00211E02"/>
    <w:rsid w:val="002135D3"/>
    <w:rsid w:val="002449A0"/>
    <w:rsid w:val="002473D2"/>
    <w:rsid w:val="00253D6D"/>
    <w:rsid w:val="00262EFB"/>
    <w:rsid w:val="00265755"/>
    <w:rsid w:val="00285E10"/>
    <w:rsid w:val="00287CF1"/>
    <w:rsid w:val="00293DCD"/>
    <w:rsid w:val="002B48D0"/>
    <w:rsid w:val="002C0CD0"/>
    <w:rsid w:val="002D4783"/>
    <w:rsid w:val="002E2CBD"/>
    <w:rsid w:val="002E5C28"/>
    <w:rsid w:val="002E655B"/>
    <w:rsid w:val="003329A3"/>
    <w:rsid w:val="00336E24"/>
    <w:rsid w:val="00344141"/>
    <w:rsid w:val="00344306"/>
    <w:rsid w:val="003467C4"/>
    <w:rsid w:val="003524D3"/>
    <w:rsid w:val="0035344F"/>
    <w:rsid w:val="00356059"/>
    <w:rsid w:val="00360D31"/>
    <w:rsid w:val="003622BF"/>
    <w:rsid w:val="0037209F"/>
    <w:rsid w:val="00383809"/>
    <w:rsid w:val="00385420"/>
    <w:rsid w:val="003863C3"/>
    <w:rsid w:val="00392FC7"/>
    <w:rsid w:val="003A0DEB"/>
    <w:rsid w:val="003A60C5"/>
    <w:rsid w:val="003B0598"/>
    <w:rsid w:val="003C07C3"/>
    <w:rsid w:val="003C2B39"/>
    <w:rsid w:val="003C496B"/>
    <w:rsid w:val="003D65FE"/>
    <w:rsid w:val="003E42C9"/>
    <w:rsid w:val="003E505E"/>
    <w:rsid w:val="003F0EAB"/>
    <w:rsid w:val="003F47E7"/>
    <w:rsid w:val="00407F00"/>
    <w:rsid w:val="00413B7D"/>
    <w:rsid w:val="00414307"/>
    <w:rsid w:val="00430464"/>
    <w:rsid w:val="004539D4"/>
    <w:rsid w:val="00455348"/>
    <w:rsid w:val="0045728D"/>
    <w:rsid w:val="00470B01"/>
    <w:rsid w:val="00480090"/>
    <w:rsid w:val="004818D8"/>
    <w:rsid w:val="00496CA8"/>
    <w:rsid w:val="004B684F"/>
    <w:rsid w:val="004B78D9"/>
    <w:rsid w:val="004C69E5"/>
    <w:rsid w:val="004E03AA"/>
    <w:rsid w:val="00507E1F"/>
    <w:rsid w:val="00521B85"/>
    <w:rsid w:val="00545882"/>
    <w:rsid w:val="00554AC6"/>
    <w:rsid w:val="00565F2A"/>
    <w:rsid w:val="005756EE"/>
    <w:rsid w:val="005771D4"/>
    <w:rsid w:val="005934C6"/>
    <w:rsid w:val="00597632"/>
    <w:rsid w:val="005A471C"/>
    <w:rsid w:val="005C501A"/>
    <w:rsid w:val="005D1E50"/>
    <w:rsid w:val="005E3ABE"/>
    <w:rsid w:val="006066EB"/>
    <w:rsid w:val="006138FD"/>
    <w:rsid w:val="006227A7"/>
    <w:rsid w:val="006235BA"/>
    <w:rsid w:val="006241A2"/>
    <w:rsid w:val="00650908"/>
    <w:rsid w:val="00656C09"/>
    <w:rsid w:val="00667BA7"/>
    <w:rsid w:val="00683601"/>
    <w:rsid w:val="00694B48"/>
    <w:rsid w:val="006A1F39"/>
    <w:rsid w:val="006A21D6"/>
    <w:rsid w:val="006A5FC6"/>
    <w:rsid w:val="006A6027"/>
    <w:rsid w:val="006B1D72"/>
    <w:rsid w:val="006D1BF9"/>
    <w:rsid w:val="006D4AE3"/>
    <w:rsid w:val="006D6CBC"/>
    <w:rsid w:val="006F05D9"/>
    <w:rsid w:val="006F23AA"/>
    <w:rsid w:val="00702F60"/>
    <w:rsid w:val="00720370"/>
    <w:rsid w:val="00720DCB"/>
    <w:rsid w:val="007212D6"/>
    <w:rsid w:val="00723BBB"/>
    <w:rsid w:val="00742AB7"/>
    <w:rsid w:val="007532B1"/>
    <w:rsid w:val="007616D7"/>
    <w:rsid w:val="007636E9"/>
    <w:rsid w:val="007715B4"/>
    <w:rsid w:val="007A18AE"/>
    <w:rsid w:val="007A7ECA"/>
    <w:rsid w:val="007B51AC"/>
    <w:rsid w:val="007B7431"/>
    <w:rsid w:val="007B7BE7"/>
    <w:rsid w:val="007C0D1B"/>
    <w:rsid w:val="007C0EFB"/>
    <w:rsid w:val="007C32AD"/>
    <w:rsid w:val="007E10B6"/>
    <w:rsid w:val="007F0B79"/>
    <w:rsid w:val="00801DCD"/>
    <w:rsid w:val="00802E3B"/>
    <w:rsid w:val="008245B5"/>
    <w:rsid w:val="00834CC6"/>
    <w:rsid w:val="0084175B"/>
    <w:rsid w:val="008458A3"/>
    <w:rsid w:val="00854D68"/>
    <w:rsid w:val="008566D2"/>
    <w:rsid w:val="008568BE"/>
    <w:rsid w:val="008836F2"/>
    <w:rsid w:val="008E6D2E"/>
    <w:rsid w:val="008F7674"/>
    <w:rsid w:val="00904766"/>
    <w:rsid w:val="009160B6"/>
    <w:rsid w:val="00924426"/>
    <w:rsid w:val="0093406B"/>
    <w:rsid w:val="00935666"/>
    <w:rsid w:val="00997E5E"/>
    <w:rsid w:val="009A50BC"/>
    <w:rsid w:val="009B0A73"/>
    <w:rsid w:val="009B2167"/>
    <w:rsid w:val="009C6CB0"/>
    <w:rsid w:val="009F191C"/>
    <w:rsid w:val="009F5D4D"/>
    <w:rsid w:val="00A12D06"/>
    <w:rsid w:val="00A146C0"/>
    <w:rsid w:val="00A23AFA"/>
    <w:rsid w:val="00A322C7"/>
    <w:rsid w:val="00A4033C"/>
    <w:rsid w:val="00A503C6"/>
    <w:rsid w:val="00A51089"/>
    <w:rsid w:val="00A624EA"/>
    <w:rsid w:val="00A63870"/>
    <w:rsid w:val="00A670E9"/>
    <w:rsid w:val="00A77DFC"/>
    <w:rsid w:val="00A854F5"/>
    <w:rsid w:val="00A920C7"/>
    <w:rsid w:val="00A925CF"/>
    <w:rsid w:val="00AA3089"/>
    <w:rsid w:val="00AA5263"/>
    <w:rsid w:val="00AB2534"/>
    <w:rsid w:val="00AC039C"/>
    <w:rsid w:val="00AC242B"/>
    <w:rsid w:val="00AC71B5"/>
    <w:rsid w:val="00AD6A83"/>
    <w:rsid w:val="00AF0446"/>
    <w:rsid w:val="00AF7929"/>
    <w:rsid w:val="00B004FA"/>
    <w:rsid w:val="00B06539"/>
    <w:rsid w:val="00B41C10"/>
    <w:rsid w:val="00B432A8"/>
    <w:rsid w:val="00B455D6"/>
    <w:rsid w:val="00B50952"/>
    <w:rsid w:val="00B51E61"/>
    <w:rsid w:val="00B53A15"/>
    <w:rsid w:val="00B53C2B"/>
    <w:rsid w:val="00B57C3F"/>
    <w:rsid w:val="00B61F3E"/>
    <w:rsid w:val="00B63D96"/>
    <w:rsid w:val="00B64B72"/>
    <w:rsid w:val="00B702B5"/>
    <w:rsid w:val="00B836B5"/>
    <w:rsid w:val="00B848E3"/>
    <w:rsid w:val="00B92F04"/>
    <w:rsid w:val="00BA1A36"/>
    <w:rsid w:val="00BB5225"/>
    <w:rsid w:val="00BD04CC"/>
    <w:rsid w:val="00BD3FBA"/>
    <w:rsid w:val="00BD627D"/>
    <w:rsid w:val="00BD690F"/>
    <w:rsid w:val="00BF0F3D"/>
    <w:rsid w:val="00BF1232"/>
    <w:rsid w:val="00BF528F"/>
    <w:rsid w:val="00C053C9"/>
    <w:rsid w:val="00C10201"/>
    <w:rsid w:val="00C13FE0"/>
    <w:rsid w:val="00C15C30"/>
    <w:rsid w:val="00C20560"/>
    <w:rsid w:val="00C2588A"/>
    <w:rsid w:val="00C57010"/>
    <w:rsid w:val="00C62773"/>
    <w:rsid w:val="00C70F87"/>
    <w:rsid w:val="00C906C2"/>
    <w:rsid w:val="00C9689F"/>
    <w:rsid w:val="00C96E65"/>
    <w:rsid w:val="00CA397F"/>
    <w:rsid w:val="00CB5AAF"/>
    <w:rsid w:val="00CC2D7D"/>
    <w:rsid w:val="00CC6307"/>
    <w:rsid w:val="00CE41F9"/>
    <w:rsid w:val="00CE746C"/>
    <w:rsid w:val="00CF5AC2"/>
    <w:rsid w:val="00CF69B5"/>
    <w:rsid w:val="00D02332"/>
    <w:rsid w:val="00D059D8"/>
    <w:rsid w:val="00D23242"/>
    <w:rsid w:val="00D37352"/>
    <w:rsid w:val="00D4268F"/>
    <w:rsid w:val="00D94C85"/>
    <w:rsid w:val="00DB5BB4"/>
    <w:rsid w:val="00DC7EB3"/>
    <w:rsid w:val="00DD2F87"/>
    <w:rsid w:val="00DD639C"/>
    <w:rsid w:val="00DD6434"/>
    <w:rsid w:val="00DF04D8"/>
    <w:rsid w:val="00DF24AD"/>
    <w:rsid w:val="00E01AF3"/>
    <w:rsid w:val="00E14614"/>
    <w:rsid w:val="00E3625D"/>
    <w:rsid w:val="00E36B05"/>
    <w:rsid w:val="00E44147"/>
    <w:rsid w:val="00E4607C"/>
    <w:rsid w:val="00E57CEA"/>
    <w:rsid w:val="00E60E9E"/>
    <w:rsid w:val="00E82943"/>
    <w:rsid w:val="00E878A5"/>
    <w:rsid w:val="00EB35F5"/>
    <w:rsid w:val="00EC391C"/>
    <w:rsid w:val="00EE5000"/>
    <w:rsid w:val="00EF0560"/>
    <w:rsid w:val="00EF475B"/>
    <w:rsid w:val="00EF64B0"/>
    <w:rsid w:val="00F074F7"/>
    <w:rsid w:val="00F12117"/>
    <w:rsid w:val="00F2452C"/>
    <w:rsid w:val="00F364BC"/>
    <w:rsid w:val="00F43307"/>
    <w:rsid w:val="00F45C30"/>
    <w:rsid w:val="00F52315"/>
    <w:rsid w:val="00F568AB"/>
    <w:rsid w:val="00F64FCD"/>
    <w:rsid w:val="00F80E87"/>
    <w:rsid w:val="00F815CA"/>
    <w:rsid w:val="00F81F28"/>
    <w:rsid w:val="00F8298B"/>
    <w:rsid w:val="00FB6EF4"/>
    <w:rsid w:val="00FC56DC"/>
    <w:rsid w:val="00FD278D"/>
    <w:rsid w:val="00FD27EA"/>
    <w:rsid w:val="00FE60E7"/>
    <w:rsid w:val="00FF1E2F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8F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636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2E65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655B"/>
  </w:style>
  <w:style w:type="paragraph" w:styleId="Prrafodelista">
    <w:name w:val="List Paragraph"/>
    <w:basedOn w:val="Normal"/>
    <w:uiPriority w:val="34"/>
    <w:qFormat/>
    <w:rsid w:val="00D94C8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D6A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6A8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Colossus User</cp:lastModifiedBy>
  <cp:revision>4</cp:revision>
  <dcterms:created xsi:type="dcterms:W3CDTF">2009-08-19T00:11:00Z</dcterms:created>
  <dcterms:modified xsi:type="dcterms:W3CDTF">2009-08-19T21:49:00Z</dcterms:modified>
</cp:coreProperties>
</file>