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Extracto de la Tesis Doctoral de Miguel Bote “</w:t>
      </w:r>
      <w:r w:rsidRPr="006538D9">
        <w:rPr>
          <w:rFonts w:ascii="TimesNewRomanPS-BoldMT" w:hAnsi="TimesNewRomanPS-BoldMT" w:cs="TimesNewRomanPS-BoldMT"/>
          <w:b/>
          <w:bCs/>
        </w:rPr>
        <w:t>Gridcole, un sistema maleable basado en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 w:rsidRPr="006538D9">
        <w:rPr>
          <w:rFonts w:ascii="TimesNewRomanPS-BoldMT" w:hAnsi="TimesNewRomanPS-BoldMT" w:cs="TimesNewRomanPS-BoldMT"/>
          <w:b/>
          <w:bCs/>
        </w:rPr>
        <w:t>servicios grid para el apoyo del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 w:rsidRPr="006538D9">
        <w:rPr>
          <w:rFonts w:ascii="TimesNewRomanPS-BoldMT" w:hAnsi="TimesNewRomanPS-BoldMT" w:cs="TimesNewRomanPS-BoldMT"/>
          <w:b/>
          <w:bCs/>
        </w:rPr>
        <w:t>aprendizaje colaborativo guiado</w:t>
      </w:r>
      <w:r>
        <w:rPr>
          <w:rFonts w:ascii="TimesNewRomanPS-BoldMT" w:hAnsi="TimesNewRomanPS-BoldMT" w:cs="TimesNewRomanPS-BoldMT"/>
          <w:b/>
          <w:bCs/>
        </w:rPr>
        <w:t>” Septiembre del 2005.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Estructuras para la creación de situaciones de aprendizaje colaborativo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El diseño de situaciones de aprendizaje colaborativo es una tarea difícil que requiere de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cierta experiencia, especialmente si el diseño se hace partiendo de cero. Una posibilidad más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sencilla es aplicar una estructura de aprendizaje colaborativo. Las estructuras son situaciones de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aprendizaje colaborativo genéricas fácilmente adaptables a las necesidades de múltiples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entornos, disciplinas y contenidos. Por este motivo, algunos autores [Her04] emplean el término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 xml:space="preserve">patrón de flujo de aprendizaje colaborativo (CLFP – </w:t>
      </w:r>
      <w:r>
        <w:rPr>
          <w:rFonts w:ascii="TimesNewRomanPS-BoldMT" w:hAnsi="TimesNewRomanPS-BoldMT" w:cs="TimesNewRomanPS-BoldMT"/>
          <w:i/>
          <w:iCs/>
          <w:sz w:val="22"/>
          <w:szCs w:val="22"/>
        </w:rPr>
        <w:t>Collaborative Learning Flow Pattern</w:t>
      </w:r>
      <w:r>
        <w:rPr>
          <w:rFonts w:ascii="TimesNewRomanPS-BoldMT" w:hAnsi="TimesNewRomanPS-BoldMT" w:cs="TimesNewRomanPS-BoldMT"/>
          <w:sz w:val="22"/>
          <w:szCs w:val="22"/>
        </w:rPr>
        <w:t>) para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referirse a las estructuras de aprendizaje colaborativo. En [Nat97] [Osu99] es posible encontrar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la descripción de numerosas estructuras. Algunas de ellas son las siguientes: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18"/>
          <w:szCs w:val="18"/>
        </w:rPr>
      </w:pPr>
      <w:r>
        <w:rPr>
          <w:rFonts w:ascii="TimesNewRomanPS-BoldMT" w:hAnsi="TimesNewRomanPS-BoldMT" w:cs="TimesNewRomanPS-BoldMT"/>
          <w:sz w:val="18"/>
          <w:szCs w:val="18"/>
        </w:rPr>
        <w:t>Capítulo 2. Sistemas de aprendizaje colaborativo maleables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18"/>
          <w:szCs w:val="18"/>
        </w:rPr>
      </w:pPr>
      <w:r>
        <w:rPr>
          <w:rFonts w:ascii="TimesNewRomanPS-BoldMT" w:hAnsi="TimesNewRomanPS-BoldMT" w:cs="TimesNewRomanPS-BoldMT"/>
          <w:sz w:val="18"/>
          <w:szCs w:val="18"/>
        </w:rPr>
        <w:t>20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i/>
          <w:iCs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 xml:space="preserve">• 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Resolución de problemas en voz alta por parejas (TAPPS – </w:t>
      </w:r>
      <w:r>
        <w:rPr>
          <w:rFonts w:ascii="TimesNewRomanPS-BoldMT" w:hAnsi="TimesNewRomanPS-BoldMT" w:cs="TimesNewRomanPS-BoldMT"/>
          <w:b/>
          <w:bCs/>
          <w:i/>
          <w:iCs/>
          <w:sz w:val="22"/>
          <w:szCs w:val="22"/>
        </w:rPr>
        <w:t>Think Aloud Pair Problem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i/>
          <w:iCs/>
          <w:sz w:val="22"/>
          <w:szCs w:val="22"/>
        </w:rPr>
        <w:t>Solving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). </w:t>
      </w:r>
      <w:r>
        <w:rPr>
          <w:rFonts w:ascii="TimesNewRomanPS-BoldMT" w:hAnsi="TimesNewRomanPS-BoldMT" w:cs="TimesNewRomanPS-BoldMT"/>
          <w:sz w:val="22"/>
          <w:szCs w:val="22"/>
        </w:rPr>
        <w:t>Esta estructura tiene como objetivo fomentar la habilidad del alumno para resolver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problemas mediante la verbalización de sus pensamientos durante el proceso de solución del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mismo. Para ponerla en marcha, los estudiantes deben agruparse en parejas a las que se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asigna una serie de problemas. Durante la realización de esta actividad, los miembros de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cada grupo deben turnarse a la hora de encargarse de resolver un problema o de escuchar al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que lo está haciendo. El alumno que resuelve un problema debe leerlo en voz alta y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describir a su compañero la secuencia de razonamientos que conducen a la solución del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mismo. El alumno que escucha, en cambio, debe seguir dicha secuencia y hacer preguntas a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su pareja en caso de que no se explique con claridad.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 xml:space="preserve">• 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>Rompecabezas (</w:t>
      </w:r>
      <w:r>
        <w:rPr>
          <w:rFonts w:ascii="TimesNewRomanPS-BoldMT" w:hAnsi="TimesNewRomanPS-BoldMT" w:cs="TimesNewRomanPS-BoldMT"/>
          <w:b/>
          <w:bCs/>
          <w:i/>
          <w:iCs/>
          <w:sz w:val="22"/>
          <w:szCs w:val="22"/>
        </w:rPr>
        <w:t>jigsaw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>)</w:t>
      </w:r>
      <w:r>
        <w:rPr>
          <w:rFonts w:ascii="TimesNewRomanPS-BoldMT" w:hAnsi="TimesNewRomanPS-BoldMT" w:cs="TimesNewRomanPS-BoldMT"/>
          <w:sz w:val="22"/>
          <w:szCs w:val="22"/>
        </w:rPr>
        <w:t>. El profesor divide la clase en varios grupos que deben resolver un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mismo problema. A continuación, se asigna a cada alumno dentro del grupo la tarea de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estudiar la información relativa a una porción de dicho problema. De este modo, los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miembros de un mismo grupo se convierten en “expertos” de las distintas partes del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problema. Seguidamente, se forman “grupos de expertos” en los que los alumnos discuten y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profundizan en el subproblema del que son especialistas. Finalmente, los alumnos vuelven a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sus grupos originales para poner en común sus conocimientos y encontrar una solución al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problema global. Esta técnica requiere una fuerte implicación por parte de los participantes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pero, sin embargo, fomenta el intercambio comunicativo y la interdependencia positiva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[Aro97].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 xml:space="preserve">• 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>Pirámide (</w:t>
      </w:r>
      <w:r>
        <w:rPr>
          <w:rFonts w:ascii="TimesNewRomanPS-BoldMT" w:hAnsi="TimesNewRomanPS-BoldMT" w:cs="TimesNewRomanPS-BoldMT"/>
          <w:b/>
          <w:bCs/>
          <w:i/>
          <w:iCs/>
          <w:sz w:val="22"/>
          <w:szCs w:val="22"/>
        </w:rPr>
        <w:t>pyramid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). </w:t>
      </w:r>
      <w:r>
        <w:rPr>
          <w:rFonts w:ascii="TimesNewRomanPS-BoldMT" w:hAnsi="TimesNewRomanPS-BoldMT" w:cs="TimesNewRomanPS-BoldMT"/>
          <w:sz w:val="22"/>
          <w:szCs w:val="22"/>
        </w:rPr>
        <w:t>El profesor plantea un problema común a toda la clase que los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alumnos resuelven de manera individual. A continuación, cada estudiante se junta con un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compañero para discutir las soluciones que propusieron individualmente antes de plantear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una solución común. Una vez hecho esto, cada pareja de alumnos forma grupo con otra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pareja y repiten el proceso anterior. Y así sucesivamente hasta que se forman dos grandes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grupos en la clase que se unen para discutir las soluciones planteadas en cada uno de ellos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con el objetivo de proponer una solución final. La correcta realización de la estructura de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pirámide facilita la generación de múltiples ideas para la solución del problema que ha sido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planteado.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 xml:space="preserve">• 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>Mesa redonda (</w:t>
      </w:r>
      <w:r>
        <w:rPr>
          <w:rFonts w:ascii="TimesNewRomanPS-BoldMT" w:hAnsi="TimesNewRomanPS-BoldMT" w:cs="TimesNewRomanPS-BoldMT"/>
          <w:b/>
          <w:bCs/>
          <w:i/>
          <w:iCs/>
          <w:sz w:val="22"/>
          <w:szCs w:val="22"/>
        </w:rPr>
        <w:t xml:space="preserve">round table) 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>o lluvia de ideas (</w:t>
      </w:r>
      <w:r>
        <w:rPr>
          <w:rFonts w:ascii="TimesNewRomanPS-BoldMT" w:hAnsi="TimesNewRomanPS-BoldMT" w:cs="TimesNewRomanPS-BoldMT"/>
          <w:b/>
          <w:bCs/>
          <w:i/>
          <w:iCs/>
          <w:sz w:val="22"/>
          <w:szCs w:val="22"/>
        </w:rPr>
        <w:t>brainstorming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). </w:t>
      </w:r>
      <w:r>
        <w:rPr>
          <w:rFonts w:ascii="TimesNewRomanPS-BoldMT" w:hAnsi="TimesNewRomanPS-BoldMT" w:cs="TimesNewRomanPS-BoldMT"/>
          <w:sz w:val="22"/>
          <w:szCs w:val="22"/>
        </w:rPr>
        <w:t>La estructura de mesa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redonda es muy útil para generar una gran cantidad de ideas en un corto periodo de tiempo.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Las explicaciones, las evaluaciones y las preguntas no están permitidas mientras dure el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proceso de generación de ideas. Para comenzar, el profesor debe plantear una o varias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preguntas que tengan un gran número de respuestas posibles. Cada grupo dispone de una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hoja de papel que va circulando entre los miembros del grupo para que éstos anoten sus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18"/>
          <w:szCs w:val="18"/>
        </w:rPr>
      </w:pPr>
      <w:r>
        <w:rPr>
          <w:rFonts w:ascii="TimesNewRomanPS-BoldMT" w:hAnsi="TimesNewRomanPS-BoldMT" w:cs="TimesNewRomanPS-BoldMT"/>
          <w:sz w:val="18"/>
          <w:szCs w:val="18"/>
        </w:rPr>
        <w:t>2.2 Aprendizaje colaborativo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18"/>
          <w:szCs w:val="18"/>
        </w:rPr>
      </w:pPr>
      <w:r>
        <w:rPr>
          <w:rFonts w:ascii="TimesNewRomanPS-BoldMT" w:hAnsi="TimesNewRomanPS-BoldMT" w:cs="TimesNewRomanPS-BoldMT"/>
          <w:sz w:val="18"/>
          <w:szCs w:val="18"/>
        </w:rPr>
        <w:t>21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respuestas a la vez que las dicen en voz alta. Este proceso se repite hasta que los alumnos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hayan agotado todas sus ideas. A continuación, los grupos disponen del tiempo suficiente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para revisar y clarificar sus ideas. En caso de que sea necesario, los grupos pueden presentar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en voz alta las ideas que han generado al resto de la clase.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 xml:space="preserve">• 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>Piensa, discute, comparte (</w:t>
      </w:r>
      <w:r>
        <w:rPr>
          <w:rFonts w:ascii="TimesNewRomanPS-BoldMT" w:hAnsi="TimesNewRomanPS-BoldMT" w:cs="TimesNewRomanPS-BoldMT"/>
          <w:b/>
          <w:bCs/>
          <w:i/>
          <w:iCs/>
          <w:sz w:val="22"/>
          <w:szCs w:val="22"/>
        </w:rPr>
        <w:t>think-pair-share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). </w:t>
      </w:r>
      <w:r>
        <w:rPr>
          <w:rFonts w:ascii="TimesNewRomanPS-BoldMT" w:hAnsi="TimesNewRomanPS-BoldMT" w:cs="TimesNewRomanPS-BoldMT"/>
          <w:sz w:val="22"/>
          <w:szCs w:val="22"/>
        </w:rPr>
        <w:t>Ésta es una estructura relativamente sencilla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adecuada tanto para profesores como para alumnos que son nuevos en el aprendizaje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colaborativo. El profesor propone una cuestión abierta y da a los alumnos un minuto para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que reflexionen individualmente acerca de la misma. Seguidamente, los estudiantes se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emparejan para discutir sus ideas con un compañero durante varios minutos. De este modo,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todos los alumnos tienen la oportunidad de discutir sus ideas. Esto es muy importante dado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que les permite comenzar a construir su conocimiento así como averiguar qué es lo que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saben y qué es lo que no. Después de varios minutos, el profesor puede preguntar a los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estudiantes. Éstos estarán más dispuestos a responder tras haber tenido la oportunidad de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discutir sus ideas con un compañero porque, si la respuesta es incorrecta, el apuro es en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cierto modo compartido. Además, las respuestas recibidas son habitualmente más concisas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dado que los alumnos han podido reflexionar previamente sobre sus ideas.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 xml:space="preserve">• 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>Controversias académicas (</w:t>
      </w:r>
      <w:r>
        <w:rPr>
          <w:rFonts w:ascii="TimesNewRomanPS-BoldMT" w:hAnsi="TimesNewRomanPS-BoldMT" w:cs="TimesNewRomanPS-BoldMT"/>
          <w:b/>
          <w:bCs/>
          <w:i/>
          <w:iCs/>
          <w:sz w:val="22"/>
          <w:szCs w:val="22"/>
        </w:rPr>
        <w:t>academic controversies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). </w:t>
      </w:r>
      <w:r>
        <w:rPr>
          <w:rFonts w:ascii="TimesNewRomanPS-BoldMT" w:hAnsi="TimesNewRomanPS-BoldMT" w:cs="TimesNewRomanPS-BoldMT"/>
          <w:sz w:val="22"/>
          <w:szCs w:val="22"/>
        </w:rPr>
        <w:t>Para comenzar el profesor debe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presentar a los alumnos un tópico con dos puntos de vista claramente diferenciados (ej. “la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energía nuclear debería utilizarse más o menos”). En ese momento, los estudiantes se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agrupan por parejas. Cada miembro de una misma pareja adopta una postura diferente y, en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función del tiempo disponible, estudia la documentación al respecto. Si el educador lo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considera oportuno, los estudiantes de distintos grupos que comparten una misma postura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pueden discutir sus ideas. Cada alumno debe resaltar los principales argumentos que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defienden su postura y recogerlos en una pequeña presentación. A continuación, cada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estudiante presenta a su compañero dichos argumentos mientras este último toma notas sin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plantear ningún tipo de cuestiones o debatir. Tras una breve discusión los alumnos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intercambian la postura defendida y deben preparar y hacer una nueva presentación.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Finalmente, los alumnos abandonan su rol y generan conjuntamente un informe en el que se</w:t>
      </w:r>
    </w:p>
    <w:p w:rsidR="006538D9" w:rsidRDefault="006538D9" w:rsidP="006538D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2"/>
          <w:szCs w:val="22"/>
        </w:rPr>
        <w:t>aborda la cuestión planteada inicialmente utilizando las ideas generadas durante las fases</w:t>
      </w:r>
    </w:p>
    <w:p w:rsidR="00FF4FAD" w:rsidRDefault="006538D9" w:rsidP="006538D9">
      <w:r>
        <w:rPr>
          <w:rFonts w:ascii="TimesNewRomanPS-BoldMT" w:hAnsi="TimesNewRomanPS-BoldMT" w:cs="TimesNewRomanPS-BoldMT"/>
          <w:sz w:val="22"/>
          <w:szCs w:val="22"/>
        </w:rPr>
        <w:t>anteriores.</w:t>
      </w:r>
    </w:p>
    <w:sectPr w:rsidR="00FF4FAD" w:rsidSect="009C07A1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538D9"/>
    <w:rsid w:val="006538D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FAD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939</Words>
  <Characters>5354</Characters>
  <Application>Microsoft Macintosh Word</Application>
  <DocSecurity>0</DocSecurity>
  <Lines>44</Lines>
  <Paragraphs>10</Paragraphs>
  <ScaleCrop>false</ScaleCrop>
  <Company>Universidad de Talca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Guiñez</dc:creator>
  <cp:keywords/>
  <cp:lastModifiedBy>Sergio Guiñez</cp:lastModifiedBy>
  <cp:revision>1</cp:revision>
  <dcterms:created xsi:type="dcterms:W3CDTF">2010-06-11T17:44:00Z</dcterms:created>
  <dcterms:modified xsi:type="dcterms:W3CDTF">2010-06-11T17:45:00Z</dcterms:modified>
</cp:coreProperties>
</file>