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99" w:rsidRPr="003600DA" w:rsidRDefault="002230F6" w:rsidP="002230F6">
      <w:pPr>
        <w:jc w:val="center"/>
        <w:rPr>
          <w:color w:val="C0504D" w:themeColor="accent2"/>
          <w:sz w:val="24"/>
          <w:szCs w:val="24"/>
          <w:lang w:val="sr-Cyrl-CS"/>
        </w:rPr>
      </w:pP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  <w:r w:rsidRPr="003600DA">
        <w:rPr>
          <w:color w:val="C0504D" w:themeColor="accent2"/>
          <w:sz w:val="24"/>
          <w:szCs w:val="24"/>
          <w:lang w:val="en-US"/>
        </w:rPr>
        <w:t xml:space="preserve">   </w:t>
      </w: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  <w:r w:rsidRPr="003600DA">
        <w:rPr>
          <w:color w:val="C0504D" w:themeColor="accent2"/>
          <w:sz w:val="24"/>
          <w:szCs w:val="24"/>
          <w:lang w:val="en-US"/>
        </w:rPr>
        <w:t xml:space="preserve">   </w:t>
      </w: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</w:p>
    <w:p w:rsidR="00D4663A" w:rsidRPr="003600DA" w:rsidRDefault="000A4FB2" w:rsidP="002230F6">
      <w:pPr>
        <w:jc w:val="both"/>
        <w:rPr>
          <w:color w:val="1F497D" w:themeColor="text2"/>
          <w:sz w:val="24"/>
          <w:szCs w:val="24"/>
          <w:lang w:eastAsia="sr-Latn-CS"/>
        </w:rPr>
      </w:pPr>
      <w:r w:rsidRPr="003600DA">
        <w:rPr>
          <w:color w:val="1F497D" w:themeColor="text2"/>
          <w:sz w:val="24"/>
          <w:szCs w:val="24"/>
          <w:lang w:eastAsia="sr-Latn-CS"/>
        </w:rPr>
        <w:t>Nema medijske kulture - a čitavo iskustvo savremenog sveta je medijski oblikovano. Nije potrebna medijska pismenost kao digitalna podučenost u tehničkom smislu, već kao stvaralaštvo, kao stvaralački potencijal, estetski i etički prostor.</w:t>
      </w:r>
      <w:r w:rsidR="00067D78">
        <w:rPr>
          <w:color w:val="1F497D" w:themeColor="text2"/>
          <w:sz w:val="24"/>
          <w:szCs w:val="24"/>
          <w:lang w:eastAsia="sr-Latn-CS"/>
        </w:rPr>
        <w:t xml:space="preserve"> </w:t>
      </w:r>
      <w:r w:rsidRPr="003600DA">
        <w:rPr>
          <w:color w:val="1F497D" w:themeColor="text2"/>
          <w:sz w:val="24"/>
          <w:szCs w:val="24"/>
          <w:lang w:eastAsia="sr-Latn-CS"/>
        </w:rPr>
        <w:t>Jasno je da upotreba i potrošnja medijskih proizvoda ne daju mogućnost razumevanja kako ti proizvodi nastaju, od čega se sve sastoje, šta znače i kome su upućeni. Znanje iz oblasti studija kulture, komunikologije, sociologije medija, kao i nekih srodnih disciplina daje nam pre svega kritičku distancu, a zatim omogućava određeni stručni pristup medijskom delovanju.</w:t>
      </w:r>
    </w:p>
    <w:p w:rsidR="000A4FB2" w:rsidRPr="003600DA" w:rsidRDefault="000A4FB2" w:rsidP="002230F6">
      <w:pPr>
        <w:jc w:val="both"/>
        <w:rPr>
          <w:color w:val="1F497D" w:themeColor="text2"/>
          <w:sz w:val="24"/>
          <w:szCs w:val="24"/>
          <w:lang w:eastAsia="sr-Latn-CS"/>
        </w:rPr>
      </w:pPr>
      <w:r w:rsidRPr="003600DA">
        <w:rPr>
          <w:color w:val="1F497D" w:themeColor="text2"/>
          <w:sz w:val="24"/>
          <w:szCs w:val="24"/>
          <w:lang w:eastAsia="sr-Latn-CS"/>
        </w:rPr>
        <w:t>Prema istaživanjima M</w:t>
      </w:r>
      <w:r w:rsidR="006532AC" w:rsidRPr="003600DA">
        <w:rPr>
          <w:color w:val="1F497D" w:themeColor="text2"/>
          <w:sz w:val="24"/>
          <w:szCs w:val="24"/>
          <w:lang w:eastAsia="sr-Latn-CS"/>
        </w:rPr>
        <w:t xml:space="preserve">. </w:t>
      </w:r>
      <w:r w:rsidRPr="003600DA">
        <w:rPr>
          <w:color w:val="1F497D" w:themeColor="text2"/>
          <w:sz w:val="24"/>
          <w:szCs w:val="24"/>
          <w:lang w:eastAsia="sr-Latn-CS"/>
        </w:rPr>
        <w:t>Radojkovića o odnosima medija i škole, tinejdžer do polaska na fakultet ukupno provede više vremena uz mas-medije nego u školi. Navedena analiza upućuje na zaključak da i obrazovni i medijski sistem treba sagledavati u interaktivnom odnosu i prihvatiti ih kao legitimne činioce u procesu socijalizacije. „Medijska tehnologija postaje postepeno i obrazovna tehnologija. Dakle i sam proces modernizacije nastave implicitno nalaže obrazovanje za medije", kaže Radojković i nadalje ut</w:t>
      </w:r>
      <w:r w:rsidR="006532AC" w:rsidRPr="003600DA">
        <w:rPr>
          <w:color w:val="1F497D" w:themeColor="text2"/>
          <w:sz w:val="24"/>
          <w:szCs w:val="24"/>
          <w:lang w:eastAsia="sr-Latn-CS"/>
        </w:rPr>
        <w:t>vrđuje da je „nesporno da masov</w:t>
      </w:r>
      <w:r w:rsidRPr="003600DA">
        <w:rPr>
          <w:color w:val="1F497D" w:themeColor="text2"/>
          <w:sz w:val="24"/>
          <w:szCs w:val="24"/>
          <w:lang w:eastAsia="sr-Latn-CS"/>
        </w:rPr>
        <w:t>ne komunikacije moraju da postanu predmet učenja"</w:t>
      </w:r>
      <w:r w:rsidR="006532AC" w:rsidRPr="003600DA">
        <w:rPr>
          <w:color w:val="1F497D" w:themeColor="text2"/>
          <w:sz w:val="24"/>
          <w:szCs w:val="24"/>
          <w:vertAlign w:val="superscript"/>
          <w:lang w:eastAsia="sr-Latn-CS"/>
        </w:rPr>
        <w:t xml:space="preserve">. </w:t>
      </w:r>
      <w:r w:rsidRPr="003600DA">
        <w:rPr>
          <w:color w:val="1F497D" w:themeColor="text2"/>
          <w:sz w:val="24"/>
          <w:szCs w:val="24"/>
          <w:lang w:eastAsia="sr-Latn-CS"/>
        </w:rPr>
        <w:t>Posebno je važno izučavanje medija kad se ima u vidu da je, kako kaže Entoni Gideus na scenu stupio „svetski informacijski poredak" - međunarodni sistem proizvodnje, distribucije i korišćenja informacijskih dobara.</w:t>
      </w:r>
    </w:p>
    <w:p w:rsidR="000A4FB2" w:rsidRPr="002230F6" w:rsidRDefault="00AB7D85" w:rsidP="000A4FB2">
      <w:pPr>
        <w:rPr>
          <w:rStyle w:val="Suptilnonaglaavanje"/>
          <w:i w:val="0"/>
          <w:color w:val="C00000"/>
        </w:rPr>
      </w:pPr>
      <w:r w:rsidRPr="002230F6">
        <w:rPr>
          <w:rStyle w:val="Suptilnonaglaavanje"/>
          <w:i w:val="0"/>
          <w:color w:val="C00000"/>
        </w:rPr>
        <w:t>Zoran Hamović</w:t>
      </w:r>
      <w:r w:rsidRPr="002230F6">
        <w:rPr>
          <w:rStyle w:val="Suptilnonaglaavanje"/>
          <w:color w:val="C00000"/>
        </w:rPr>
        <w:t xml:space="preserve">, Uvođenje u Internest </w:t>
      </w:r>
      <w:r w:rsidRPr="002230F6">
        <w:rPr>
          <w:rStyle w:val="Suptilnonaglaavanje"/>
          <w:i w:val="0"/>
          <w:color w:val="C00000"/>
        </w:rPr>
        <w:t>u</w:t>
      </w:r>
      <w:r w:rsidRPr="002230F6">
        <w:rPr>
          <w:rStyle w:val="Suptilnonaglaavanje"/>
          <w:color w:val="C00000"/>
        </w:rPr>
        <w:t xml:space="preserve"> Knjiga za medije – mediji za knjigu, </w:t>
      </w:r>
      <w:r w:rsidRPr="002230F6">
        <w:rPr>
          <w:rStyle w:val="Suptilnonaglaavanje"/>
          <w:i w:val="0"/>
          <w:color w:val="C00000"/>
        </w:rPr>
        <w:t>Beograd, Clio, 2008, str</w:t>
      </w:r>
      <w:r w:rsidR="000A4FB2" w:rsidRPr="002230F6">
        <w:rPr>
          <w:rStyle w:val="Suptilnonaglaavanje"/>
          <w:i w:val="0"/>
          <w:color w:val="C00000"/>
        </w:rPr>
        <w:t xml:space="preserve">. </w:t>
      </w:r>
      <w:r w:rsidRPr="002230F6">
        <w:rPr>
          <w:rStyle w:val="Suptilnonaglaavanje"/>
          <w:i w:val="0"/>
          <w:color w:val="C00000"/>
        </w:rPr>
        <w:t xml:space="preserve">223, </w:t>
      </w:r>
      <w:r w:rsidR="000A4FB2" w:rsidRPr="002230F6">
        <w:rPr>
          <w:rStyle w:val="Suptilnonaglaavanje"/>
          <w:i w:val="0"/>
          <w:color w:val="C00000"/>
        </w:rPr>
        <w:t>224</w:t>
      </w:r>
    </w:p>
    <w:p w:rsidR="002230F6" w:rsidRDefault="002230F6" w:rsidP="00AB7D85">
      <w:pPr>
        <w:autoSpaceDE w:val="0"/>
        <w:autoSpaceDN w:val="0"/>
        <w:adjustRightInd w:val="0"/>
        <w:spacing w:after="0" w:line="240" w:lineRule="auto"/>
        <w:rPr>
          <w:rFonts w:cs="Century Schoolbook"/>
          <w:i/>
          <w:iCs/>
          <w:color w:val="000000"/>
          <w:lang w:eastAsia="sr-Latn-CS"/>
        </w:rPr>
      </w:pPr>
    </w:p>
    <w:p w:rsidR="002230F6" w:rsidRPr="003600DA" w:rsidRDefault="002230F6" w:rsidP="002230F6">
      <w:pPr>
        <w:jc w:val="center"/>
        <w:rPr>
          <w:color w:val="C0504D" w:themeColor="accent2"/>
          <w:sz w:val="24"/>
          <w:szCs w:val="24"/>
          <w:lang w:val="sr-Cyrl-CS"/>
        </w:rPr>
      </w:pP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  <w:r w:rsidRPr="003600DA">
        <w:rPr>
          <w:color w:val="C0504D" w:themeColor="accent2"/>
          <w:sz w:val="24"/>
          <w:szCs w:val="24"/>
          <w:lang w:val="en-US"/>
        </w:rPr>
        <w:t xml:space="preserve">   </w:t>
      </w: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  <w:r w:rsidRPr="003600DA">
        <w:rPr>
          <w:color w:val="C0504D" w:themeColor="accent2"/>
          <w:sz w:val="24"/>
          <w:szCs w:val="24"/>
          <w:lang w:val="en-US"/>
        </w:rPr>
        <w:t xml:space="preserve">   </w:t>
      </w: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</w:p>
    <w:p w:rsidR="00AB7D85" w:rsidRPr="003600DA" w:rsidRDefault="00AB7D85" w:rsidP="002230F6">
      <w:pPr>
        <w:jc w:val="both"/>
        <w:rPr>
          <w:color w:val="1F497D" w:themeColor="text2"/>
          <w:sz w:val="24"/>
          <w:szCs w:val="24"/>
          <w:lang w:eastAsia="sr-Latn-CS"/>
        </w:rPr>
      </w:pPr>
      <w:r w:rsidRPr="003600DA">
        <w:rPr>
          <w:color w:val="1F497D" w:themeColor="text2"/>
          <w:sz w:val="24"/>
          <w:szCs w:val="24"/>
          <w:lang w:eastAsia="sr-Latn-CS"/>
        </w:rPr>
        <w:t xml:space="preserve">Obrazovanje </w:t>
      </w:r>
      <w:r w:rsidR="006532AC" w:rsidRPr="003600DA">
        <w:rPr>
          <w:color w:val="1F497D" w:themeColor="text2"/>
          <w:sz w:val="24"/>
          <w:szCs w:val="24"/>
          <w:lang w:eastAsia="sr-Latn-CS"/>
        </w:rPr>
        <w:t>za medije, medijsko opismenjava</w:t>
      </w:r>
      <w:r w:rsidRPr="003600DA">
        <w:rPr>
          <w:color w:val="1F497D" w:themeColor="text2"/>
          <w:sz w:val="24"/>
          <w:szCs w:val="24"/>
          <w:lang w:eastAsia="sr-Latn-CS"/>
        </w:rPr>
        <w:t xml:space="preserve">nje i medijska pismenost, predmet su terminoloških i pojmovnih nesuglasica, a nekad samo neznatnih odstupanja u njihovom poimanju. </w:t>
      </w:r>
    </w:p>
    <w:p w:rsidR="00AB7D85" w:rsidRPr="003600DA" w:rsidRDefault="00AB7D85" w:rsidP="002230F6">
      <w:pPr>
        <w:jc w:val="both"/>
        <w:rPr>
          <w:color w:val="1F497D" w:themeColor="text2"/>
          <w:sz w:val="24"/>
          <w:szCs w:val="24"/>
          <w:lang w:eastAsia="sr-Latn-CS"/>
        </w:rPr>
      </w:pPr>
      <w:r w:rsidRPr="003600DA">
        <w:rPr>
          <w:color w:val="1F497D" w:themeColor="text2"/>
          <w:sz w:val="24"/>
          <w:szCs w:val="24"/>
          <w:lang w:eastAsia="sr-Latn-CS"/>
        </w:rPr>
        <w:t>Pod obrazovanjem za medije, dakle, podrazumevam proces koji pretpostavlja sistem, u kojem se stiču znanja neophodn</w:t>
      </w:r>
      <w:r w:rsidR="002230F6" w:rsidRPr="003600DA">
        <w:rPr>
          <w:color w:val="1F497D" w:themeColor="text2"/>
          <w:sz w:val="24"/>
          <w:szCs w:val="24"/>
          <w:lang w:eastAsia="sr-Latn-CS"/>
        </w:rPr>
        <w:t>a za razumevanje fenomena masov</w:t>
      </w:r>
      <w:r w:rsidRPr="003600DA">
        <w:rPr>
          <w:color w:val="1F497D" w:themeColor="text2"/>
          <w:sz w:val="24"/>
          <w:szCs w:val="24"/>
          <w:lang w:eastAsia="sr-Latn-CS"/>
        </w:rPr>
        <w:t>nih medija i delotvorno ponašanje s njima i u odnosu na njih.</w:t>
      </w:r>
    </w:p>
    <w:p w:rsidR="00AB7D85" w:rsidRPr="003600DA" w:rsidRDefault="00AB7D85" w:rsidP="002230F6">
      <w:pPr>
        <w:jc w:val="both"/>
        <w:rPr>
          <w:color w:val="1F497D" w:themeColor="text2"/>
          <w:sz w:val="24"/>
          <w:szCs w:val="24"/>
          <w:lang w:eastAsia="sr-Latn-CS"/>
        </w:rPr>
      </w:pPr>
      <w:r w:rsidRPr="003600DA">
        <w:rPr>
          <w:color w:val="1F497D" w:themeColor="text2"/>
          <w:sz w:val="24"/>
          <w:szCs w:val="24"/>
          <w:lang w:eastAsia="sr-Latn-CS"/>
        </w:rPr>
        <w:t>Pod medijskim opismenjavanjem, podrazumevam podučavanje jeziku i pismu medija, to jest znakovnom i simboličkom pismu kojim se poruke ispisuju i značenja sugerišu. Možda suviše hrabo, ali analogiju izvodim sa alfauumeričkim pismom.</w:t>
      </w:r>
    </w:p>
    <w:p w:rsidR="00AB7D85" w:rsidRPr="003600DA" w:rsidRDefault="00AB7D85" w:rsidP="002230F6">
      <w:pPr>
        <w:jc w:val="both"/>
        <w:rPr>
          <w:color w:val="1F497D" w:themeColor="text2"/>
          <w:sz w:val="24"/>
          <w:szCs w:val="24"/>
          <w:lang w:eastAsia="sr-Latn-CS"/>
        </w:rPr>
      </w:pPr>
      <w:r w:rsidRPr="003600DA">
        <w:rPr>
          <w:color w:val="1F497D" w:themeColor="text2"/>
          <w:sz w:val="24"/>
          <w:szCs w:val="24"/>
          <w:lang w:eastAsia="sr-Latn-CS"/>
        </w:rPr>
        <w:t>Obrazovanje za medije ne pretpostavlja samo „umeće čitanja" i „ispisivanja" radi boljeg razumevanja i komunikacije, izuzev profesionalne primene, naravno. Ono podrazumeva proučavanje fenomena medija sa socio-kulturnog, filozofskog, antropološkog (sadržanih već u polj</w:t>
      </w:r>
      <w:r w:rsidR="006532AC" w:rsidRPr="003600DA">
        <w:rPr>
          <w:color w:val="1F497D" w:themeColor="text2"/>
          <w:sz w:val="24"/>
          <w:szCs w:val="24"/>
          <w:lang w:eastAsia="sr-Latn-CS"/>
        </w:rPr>
        <w:t>u kulture), ekonomskog, psiholo</w:t>
      </w:r>
      <w:r w:rsidRPr="003600DA">
        <w:rPr>
          <w:color w:val="1F497D" w:themeColor="text2"/>
          <w:sz w:val="24"/>
          <w:szCs w:val="24"/>
          <w:lang w:eastAsia="sr-Latn-CS"/>
        </w:rPr>
        <w:t>škog aspekta. I opet analogija, ali ovog puta sa lepom literaturom. Ozbiljna škola ne osposobljava svoje učenike samo da čitaju već i da čitajući saznaju i tumače kontekst u kome dela nastaju i na koji povratno deluju menjajući ga ili čineći pojedinca mudrijim.</w:t>
      </w:r>
    </w:p>
    <w:p w:rsidR="000A4FB2" w:rsidRPr="003600DA" w:rsidRDefault="00AB7D85" w:rsidP="002230F6">
      <w:pPr>
        <w:jc w:val="both"/>
        <w:rPr>
          <w:color w:val="1F497D" w:themeColor="text2"/>
          <w:sz w:val="24"/>
          <w:szCs w:val="24"/>
          <w:lang w:eastAsia="sr-Latn-CS"/>
        </w:rPr>
      </w:pPr>
      <w:r w:rsidRPr="003600DA">
        <w:rPr>
          <w:color w:val="1F497D" w:themeColor="text2"/>
          <w:sz w:val="24"/>
          <w:szCs w:val="24"/>
          <w:lang w:eastAsia="sr-Latn-CS"/>
        </w:rPr>
        <w:t xml:space="preserve">Medijsko opismenjavanje podrazumeva više od slušanja predavanja i učešća u raspravi o medijima. Ono pretpostavlja delanje u pravom smislu te reči: analizu, raspravu, konstrukciju i dekonstrukciju poruka i njihovo razlaganje. </w:t>
      </w:r>
    </w:p>
    <w:p w:rsidR="00AB7D85" w:rsidRPr="002230F6" w:rsidRDefault="00AB7D85" w:rsidP="000A4FB2">
      <w:pPr>
        <w:rPr>
          <w:rStyle w:val="Suptilnonaglaavanje"/>
          <w:i w:val="0"/>
          <w:color w:val="C00000"/>
        </w:rPr>
      </w:pPr>
      <w:r w:rsidRPr="002230F6">
        <w:rPr>
          <w:rStyle w:val="Suptilnonaglaavanje"/>
          <w:i w:val="0"/>
          <w:color w:val="C00000"/>
        </w:rPr>
        <w:t>Gordana Zindović Vukadinović</w:t>
      </w:r>
      <w:r w:rsidRPr="002230F6">
        <w:rPr>
          <w:rStyle w:val="Suptilnonaglaavanje"/>
          <w:color w:val="C00000"/>
        </w:rPr>
        <w:t xml:space="preserve">, Obrazovanje za medije – prilog konceptu za srednje škole </w:t>
      </w:r>
      <w:r w:rsidRPr="002230F6">
        <w:rPr>
          <w:rStyle w:val="Suptilnonaglaavanje"/>
          <w:i w:val="0"/>
          <w:color w:val="C00000"/>
        </w:rPr>
        <w:t>u</w:t>
      </w:r>
      <w:r w:rsidRPr="002230F6">
        <w:rPr>
          <w:rStyle w:val="Suptilnonaglaavanje"/>
          <w:color w:val="C00000"/>
        </w:rPr>
        <w:t xml:space="preserve"> Knjiga za medije – mediji za knjigu, </w:t>
      </w:r>
      <w:r w:rsidRPr="002230F6">
        <w:rPr>
          <w:rStyle w:val="Suptilnonaglaavanje"/>
          <w:i w:val="0"/>
          <w:color w:val="C00000"/>
        </w:rPr>
        <w:t>Beograd, Clio, 2008, str. 167.</w:t>
      </w:r>
    </w:p>
    <w:p w:rsidR="002230F6" w:rsidRPr="003600DA" w:rsidRDefault="002230F6" w:rsidP="002230F6">
      <w:pPr>
        <w:jc w:val="center"/>
        <w:rPr>
          <w:color w:val="C0504D" w:themeColor="accent2"/>
          <w:sz w:val="24"/>
          <w:szCs w:val="24"/>
          <w:lang w:val="sr-Cyrl-CS"/>
        </w:rPr>
      </w:pPr>
      <w:r w:rsidRPr="003600DA">
        <w:rPr>
          <w:color w:val="C0504D" w:themeColor="accent2"/>
          <w:sz w:val="24"/>
          <w:szCs w:val="24"/>
          <w:lang w:val="sr-Cyrl-CS"/>
        </w:rPr>
        <w:lastRenderedPageBreak/>
        <w:sym w:font="Webdings" w:char="F0B3"/>
      </w:r>
      <w:r w:rsidRPr="003600DA">
        <w:rPr>
          <w:color w:val="C0504D" w:themeColor="accent2"/>
          <w:sz w:val="24"/>
          <w:szCs w:val="24"/>
          <w:lang w:val="en-US"/>
        </w:rPr>
        <w:t xml:space="preserve">   </w:t>
      </w: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  <w:r w:rsidRPr="003600DA">
        <w:rPr>
          <w:color w:val="C0504D" w:themeColor="accent2"/>
          <w:sz w:val="24"/>
          <w:szCs w:val="24"/>
          <w:lang w:val="en-US"/>
        </w:rPr>
        <w:t xml:space="preserve">   </w:t>
      </w: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</w:p>
    <w:p w:rsidR="00D831BE" w:rsidRPr="003600DA" w:rsidRDefault="00D831BE" w:rsidP="002230F6">
      <w:pPr>
        <w:autoSpaceDE w:val="0"/>
        <w:autoSpaceDN w:val="0"/>
        <w:adjustRightInd w:val="0"/>
        <w:spacing w:after="0" w:line="240" w:lineRule="auto"/>
        <w:jc w:val="both"/>
        <w:rPr>
          <w:rFonts w:cs="Century Schoolbook"/>
          <w:color w:val="365F91" w:themeColor="accent1" w:themeShade="BF"/>
          <w:sz w:val="24"/>
          <w:szCs w:val="24"/>
          <w:lang w:eastAsia="sr-Latn-CS"/>
        </w:rPr>
      </w:pP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Medijska pismenost, bez sum</w:t>
      </w:r>
      <w:r w:rsidR="002230F6"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n</w:t>
      </w: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 xml:space="preserve">je, podrazumeva mnogo više od aktivnog učešća u razgovoru o medijima. (...) Ko nije preživeo taj čudan osećaj uvlačenja u loše vođene ezoterične rasprave o medijima?". Zaista, većinu (ne)zvaničnih rasprava o medijskoj pismenosti opterećuju bar dve nedopustive predrasude: </w:t>
      </w:r>
    </w:p>
    <w:p w:rsidR="00D831BE" w:rsidRPr="003600DA" w:rsidRDefault="00D831BE" w:rsidP="002230F6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entury Schoolbook"/>
          <w:color w:val="365F91" w:themeColor="accent1" w:themeShade="BF"/>
          <w:sz w:val="24"/>
          <w:szCs w:val="24"/>
          <w:lang w:eastAsia="sr-Latn-CS"/>
        </w:rPr>
      </w:pP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 xml:space="preserve">među stručnjacima iz oblasti pedagogije, didaktike i metodike - najčešće se o medijima govori samo kao o nastavnim sredstvima </w:t>
      </w:r>
      <w:r w:rsidR="002230F6"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(isključivo u službi ilustrativ</w:t>
      </w: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 xml:space="preserve">nih </w:t>
      </w:r>
      <w:r w:rsidR="002230F6"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 xml:space="preserve">podrški </w:t>
      </w: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 xml:space="preserve">kod učenja o drugim nastavnim, naučnim i umetničkim programskim sadržajima); </w:t>
      </w:r>
    </w:p>
    <w:p w:rsidR="00D831BE" w:rsidRPr="003600DA" w:rsidRDefault="00D831BE" w:rsidP="002230F6">
      <w:pPr>
        <w:pStyle w:val="Pasussalisto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entury Schoolbook"/>
          <w:color w:val="365F91" w:themeColor="accent1" w:themeShade="BF"/>
          <w:sz w:val="24"/>
          <w:szCs w:val="24"/>
          <w:lang w:eastAsia="sr-Latn-CS"/>
        </w:rPr>
      </w:pP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 xml:space="preserve"> među stručnjacima koji se bave novim tehnologijama - gotovo uvek se mediji razmatraju isključivo u kontekstu sticanja veština za njihovo korišćenje (a onda njihove primene u funkciji nastavnih sredstava!).</w:t>
      </w:r>
    </w:p>
    <w:p w:rsidR="002230F6" w:rsidRPr="003600DA" w:rsidRDefault="002230F6" w:rsidP="002230F6">
      <w:pPr>
        <w:pStyle w:val="Pasussalistom"/>
        <w:autoSpaceDE w:val="0"/>
        <w:autoSpaceDN w:val="0"/>
        <w:adjustRightInd w:val="0"/>
        <w:spacing w:after="0" w:line="240" w:lineRule="auto"/>
        <w:jc w:val="both"/>
        <w:rPr>
          <w:rFonts w:cs="Century Schoolbook"/>
          <w:color w:val="365F91" w:themeColor="accent1" w:themeShade="BF"/>
          <w:sz w:val="24"/>
          <w:szCs w:val="24"/>
          <w:lang w:eastAsia="sr-Latn-CS"/>
        </w:rPr>
      </w:pPr>
    </w:p>
    <w:p w:rsidR="00D831BE" w:rsidRPr="003600DA" w:rsidRDefault="00D831BE" w:rsidP="00D831BE">
      <w:pPr>
        <w:rPr>
          <w:rFonts w:cs="Century Schoolbook"/>
          <w:color w:val="365F91" w:themeColor="accent1" w:themeShade="BF"/>
          <w:sz w:val="24"/>
          <w:szCs w:val="24"/>
          <w:lang w:eastAsia="sr-Latn-CS"/>
        </w:rPr>
      </w:pPr>
      <w:r w:rsidRPr="003600DA">
        <w:rPr>
          <w:rFonts w:cs="Century Schoolbook"/>
          <w:b/>
          <w:color w:val="365F91" w:themeColor="accent1" w:themeShade="BF"/>
          <w:sz w:val="24"/>
          <w:szCs w:val="24"/>
          <w:lang w:eastAsia="sr-Latn-CS"/>
        </w:rPr>
        <w:t>Medijski je pismen onaj ko</w:t>
      </w: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:</w:t>
      </w:r>
    </w:p>
    <w:p w:rsidR="00D831BE" w:rsidRPr="003600DA" w:rsidRDefault="00D831BE" w:rsidP="002230F6">
      <w:pPr>
        <w:pStyle w:val="Pasussalisto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 Schoolbook"/>
          <w:color w:val="365F91" w:themeColor="accent1" w:themeShade="BF"/>
          <w:sz w:val="24"/>
          <w:szCs w:val="24"/>
          <w:lang w:eastAsia="sr-Latn-CS"/>
        </w:rPr>
      </w:pP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shvata da su med</w:t>
      </w:r>
      <w:r w:rsidR="00D22227"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ijske poruke (sadržaji) konstru</w:t>
      </w: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isane korišćenjem posebn</w:t>
      </w:r>
      <w:r w:rsidR="00D22227"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ih postupaka (kodira</w:t>
      </w: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nje, tehnologije) kojima se manipuliše zvukom, slikom, tekstom i pokretom, kako bi se postigla nameravana značenja;</w:t>
      </w:r>
    </w:p>
    <w:p w:rsidR="00D831BE" w:rsidRPr="003600DA" w:rsidRDefault="00D831BE" w:rsidP="002230F6">
      <w:pPr>
        <w:pStyle w:val="Pasussalisto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 Schoolbook"/>
          <w:color w:val="365F91" w:themeColor="accent1" w:themeShade="BF"/>
          <w:sz w:val="24"/>
          <w:szCs w:val="24"/>
          <w:lang w:eastAsia="sr-Latn-CS"/>
        </w:rPr>
      </w:pP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razlikuje upotrebu odgovarajućih vrsta (obl</w:t>
      </w:r>
      <w:r w:rsidR="002230F6"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ika, jezika) medijskog izražavan</w:t>
      </w: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ja u različite svrhe;</w:t>
      </w:r>
    </w:p>
    <w:p w:rsidR="00D831BE" w:rsidRPr="003600DA" w:rsidRDefault="00D831BE" w:rsidP="002230F6">
      <w:pPr>
        <w:pStyle w:val="Pasussalisto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 Schoolbook"/>
          <w:color w:val="365F91" w:themeColor="accent1" w:themeShade="BF"/>
          <w:sz w:val="24"/>
          <w:szCs w:val="24"/>
          <w:lang w:eastAsia="sr-Latn-CS"/>
        </w:rPr>
      </w:pP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 xml:space="preserve">prepoznaje, analizira i vrednuje </w:t>
      </w:r>
      <w:r w:rsidR="002230F6"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efekte medija (kognicija i kompet</w:t>
      </w: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encija, izmene u ponašanju, stavovi i vrednosni sistemi);</w:t>
      </w:r>
    </w:p>
    <w:p w:rsidR="00D831BE" w:rsidRPr="003600DA" w:rsidRDefault="00D831BE" w:rsidP="002230F6">
      <w:pPr>
        <w:pStyle w:val="Pasussalisto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 Schoolbook"/>
          <w:color w:val="365F91" w:themeColor="accent1" w:themeShade="BF"/>
          <w:sz w:val="24"/>
          <w:szCs w:val="24"/>
          <w:lang w:eastAsia="sr-Latn-CS"/>
        </w:rPr>
      </w:pP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selektuje medijske sadržaje prema kriterijumi-ma kritičke potrošnje i rafinovano vrednuje umetnički izraz u medijskoj produkciji;</w:t>
      </w:r>
    </w:p>
    <w:p w:rsidR="002230F6" w:rsidRPr="003600DA" w:rsidRDefault="00D831BE" w:rsidP="002230F6">
      <w:pPr>
        <w:pStyle w:val="Pasussalisto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entury Schoolbook"/>
          <w:color w:val="365F91" w:themeColor="accent1" w:themeShade="BF"/>
          <w:sz w:val="24"/>
          <w:szCs w:val="24"/>
          <w:lang w:eastAsia="sr-Latn-CS"/>
        </w:rPr>
      </w:pP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primenjuje znanja, veštine i strategije u kreira</w:t>
      </w:r>
      <w:r w:rsidR="00D22227"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ci</w:t>
      </w:r>
      <w:r w:rsidRPr="003600DA">
        <w:rPr>
          <w:rFonts w:cs="Century Schoolbook"/>
          <w:color w:val="365F91" w:themeColor="accent1" w:themeShade="BF"/>
          <w:sz w:val="24"/>
          <w:szCs w:val="24"/>
          <w:lang w:val="sr-Cyrl-CS" w:eastAsia="sr-Latn-CS"/>
        </w:rPr>
        <w:t xml:space="preserve">ји </w:t>
      </w: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i dizajniranju medijskih poruka.</w:t>
      </w:r>
    </w:p>
    <w:p w:rsidR="002230F6" w:rsidRPr="003600DA" w:rsidRDefault="002230F6" w:rsidP="00D831BE">
      <w:pPr>
        <w:rPr>
          <w:rFonts w:cs="Century Schoolbook"/>
          <w:color w:val="365F91" w:themeColor="accent1" w:themeShade="BF"/>
          <w:sz w:val="16"/>
          <w:szCs w:val="16"/>
          <w:lang w:eastAsia="sr-Latn-CS"/>
        </w:rPr>
      </w:pPr>
    </w:p>
    <w:p w:rsidR="00D831BE" w:rsidRPr="003600DA" w:rsidRDefault="00D831BE" w:rsidP="002230F6">
      <w:pPr>
        <w:jc w:val="both"/>
        <w:rPr>
          <w:rFonts w:cs="Century Schoolbook"/>
          <w:color w:val="365F91" w:themeColor="accent1" w:themeShade="BF"/>
          <w:sz w:val="24"/>
          <w:szCs w:val="24"/>
          <w:lang w:eastAsia="sr-Latn-CS"/>
        </w:rPr>
      </w:pP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Drugim rečima, samosvojni vaspitno-obrazovni korpusi, koji ishodu</w:t>
      </w:r>
      <w:r w:rsidR="00D22227"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>ju medijskom pismenošću uključu</w:t>
      </w:r>
      <w:r w:rsidRPr="003600DA">
        <w:rPr>
          <w:rFonts w:cs="Century Schoolbook"/>
          <w:color w:val="365F91" w:themeColor="accent1" w:themeShade="BF"/>
          <w:sz w:val="24"/>
          <w:szCs w:val="24"/>
          <w:lang w:eastAsia="sr-Latn-CS"/>
        </w:rPr>
        <w:t xml:space="preserve">ju prepoznavanje i razvijanje esencijalnih kognitivnih struktura, u okviru kojih pojedinac samostalno uspostavlja obrasce ponašanja i odnos prema vrednostima, pa tako čine integralni deo opšte kulture. </w:t>
      </w:r>
    </w:p>
    <w:p w:rsidR="00D22227" w:rsidRPr="002230F6" w:rsidRDefault="00D22227" w:rsidP="00D831BE">
      <w:pPr>
        <w:rPr>
          <w:rStyle w:val="Suptilnonaglaavanje"/>
          <w:i w:val="0"/>
          <w:color w:val="C00000"/>
        </w:rPr>
      </w:pPr>
      <w:r w:rsidRPr="002230F6">
        <w:rPr>
          <w:rStyle w:val="Suptilnonaglaavanje"/>
          <w:i w:val="0"/>
          <w:color w:val="C00000"/>
        </w:rPr>
        <w:t>Svetlana Bezdanov Gostimir</w:t>
      </w:r>
      <w:r w:rsidRPr="002230F6">
        <w:rPr>
          <w:rStyle w:val="Suptilnonaglaavanje"/>
          <w:color w:val="C00000"/>
        </w:rPr>
        <w:t xml:space="preserve">, Medijska pismenost u Knjiga za medije – mediji za knjigu, </w:t>
      </w:r>
      <w:r w:rsidRPr="002230F6">
        <w:rPr>
          <w:rStyle w:val="Suptilnonaglaavanje"/>
          <w:i w:val="0"/>
          <w:color w:val="C00000"/>
        </w:rPr>
        <w:t>Beograd, Clio, 2008, str. 174.</w:t>
      </w:r>
    </w:p>
    <w:p w:rsidR="002230F6" w:rsidRDefault="002230F6" w:rsidP="0079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sr-Cyrl-CS"/>
        </w:rPr>
      </w:pPr>
    </w:p>
    <w:p w:rsidR="002230F6" w:rsidRPr="003600DA" w:rsidRDefault="002230F6" w:rsidP="002230F6">
      <w:pPr>
        <w:jc w:val="center"/>
        <w:rPr>
          <w:color w:val="C0504D" w:themeColor="accent2"/>
          <w:sz w:val="24"/>
          <w:szCs w:val="24"/>
          <w:lang w:val="sr-Cyrl-CS"/>
        </w:rPr>
      </w:pP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  <w:r w:rsidRPr="003600DA">
        <w:rPr>
          <w:color w:val="C0504D" w:themeColor="accent2"/>
          <w:sz w:val="24"/>
          <w:szCs w:val="24"/>
          <w:lang w:val="en-US"/>
        </w:rPr>
        <w:t xml:space="preserve">   </w:t>
      </w: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  <w:r w:rsidRPr="003600DA">
        <w:rPr>
          <w:color w:val="C0504D" w:themeColor="accent2"/>
          <w:sz w:val="24"/>
          <w:szCs w:val="24"/>
          <w:lang w:val="en-US"/>
        </w:rPr>
        <w:t xml:space="preserve">   </w:t>
      </w: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</w:p>
    <w:p w:rsidR="002230F6" w:rsidRDefault="002230F6" w:rsidP="0079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sr-Cyrl-CS"/>
        </w:rPr>
      </w:pPr>
    </w:p>
    <w:p w:rsidR="002230F6" w:rsidRPr="003600DA" w:rsidRDefault="00253D26" w:rsidP="00291F52">
      <w:pPr>
        <w:jc w:val="both"/>
        <w:rPr>
          <w:color w:val="1F497D" w:themeColor="text2"/>
          <w:sz w:val="24"/>
          <w:szCs w:val="24"/>
        </w:rPr>
      </w:pPr>
      <w:r w:rsidRPr="003600DA">
        <w:rPr>
          <w:color w:val="1F497D" w:themeColor="text2"/>
          <w:sz w:val="24"/>
          <w:szCs w:val="24"/>
        </w:rPr>
        <w:t>Danas se pojam pismenosti odnosi na mnoge medije, i svaka politika opismenjavanja</w:t>
      </w:r>
      <w:r w:rsidR="00291F52" w:rsidRPr="003600DA">
        <w:rPr>
          <w:color w:val="1F497D" w:themeColor="text2"/>
          <w:sz w:val="24"/>
          <w:szCs w:val="24"/>
        </w:rPr>
        <w:t xml:space="preserve"> </w:t>
      </w:r>
      <w:r w:rsidRPr="003600DA">
        <w:rPr>
          <w:color w:val="1F497D" w:themeColor="text2"/>
          <w:sz w:val="24"/>
          <w:szCs w:val="24"/>
        </w:rPr>
        <w:t xml:space="preserve">koja </w:t>
      </w:r>
      <w:r w:rsidR="00291F52" w:rsidRPr="003600DA">
        <w:rPr>
          <w:color w:val="1F497D" w:themeColor="text2"/>
          <w:sz w:val="24"/>
          <w:szCs w:val="24"/>
        </w:rPr>
        <w:t>p</w:t>
      </w:r>
      <w:r w:rsidRPr="003600DA">
        <w:rPr>
          <w:color w:val="1F497D" w:themeColor="text2"/>
          <w:sz w:val="24"/>
          <w:szCs w:val="24"/>
        </w:rPr>
        <w:t>retenduje da bude istinski prosvetiteljska mora uzeti u</w:t>
      </w:r>
      <w:r w:rsidR="00291F52" w:rsidRPr="003600DA">
        <w:rPr>
          <w:color w:val="1F497D" w:themeColor="text2"/>
          <w:sz w:val="24"/>
          <w:szCs w:val="24"/>
        </w:rPr>
        <w:t xml:space="preserve"> </w:t>
      </w:r>
      <w:r w:rsidRPr="003600DA">
        <w:rPr>
          <w:color w:val="1F497D" w:themeColor="text2"/>
          <w:sz w:val="24"/>
          <w:szCs w:val="24"/>
        </w:rPr>
        <w:t xml:space="preserve">obzir sve ove medije. </w:t>
      </w:r>
      <w:r w:rsidR="00291F52" w:rsidRPr="003600DA">
        <w:rPr>
          <w:color w:val="1F497D" w:themeColor="text2"/>
          <w:sz w:val="24"/>
          <w:szCs w:val="24"/>
        </w:rPr>
        <w:t>Briga o obrazovanju se mora proš</w:t>
      </w:r>
      <w:r w:rsidRPr="003600DA">
        <w:rPr>
          <w:color w:val="1F497D" w:themeColor="text2"/>
          <w:sz w:val="24"/>
          <w:szCs w:val="24"/>
        </w:rPr>
        <w:t>iriti tako da</w:t>
      </w:r>
      <w:r w:rsidR="00291F52" w:rsidRPr="003600DA">
        <w:rPr>
          <w:color w:val="1F497D" w:themeColor="text2"/>
          <w:sz w:val="24"/>
          <w:szCs w:val="24"/>
        </w:rPr>
        <w:t xml:space="preserve"> </w:t>
      </w:r>
      <w:r w:rsidRPr="003600DA">
        <w:rPr>
          <w:color w:val="1F497D" w:themeColor="text2"/>
          <w:sz w:val="24"/>
          <w:szCs w:val="24"/>
        </w:rPr>
        <w:t xml:space="preserve">uvrsti sve ove medije, dok se </w:t>
      </w:r>
      <w:r w:rsidR="00291F52" w:rsidRPr="003600DA">
        <w:rPr>
          <w:color w:val="1F497D" w:themeColor="text2"/>
          <w:sz w:val="24"/>
          <w:szCs w:val="24"/>
        </w:rPr>
        <w:t>odgovornosti i zadaci moraju paž</w:t>
      </w:r>
      <w:r w:rsidRPr="003600DA">
        <w:rPr>
          <w:color w:val="1F497D" w:themeColor="text2"/>
          <w:sz w:val="24"/>
          <w:szCs w:val="24"/>
        </w:rPr>
        <w:t>ljivo</w:t>
      </w:r>
      <w:r w:rsidR="00291F52" w:rsidRPr="003600DA">
        <w:rPr>
          <w:color w:val="1F497D" w:themeColor="text2"/>
          <w:sz w:val="24"/>
          <w:szCs w:val="24"/>
        </w:rPr>
        <w:t xml:space="preserve"> izbalansirati. Ukoliko su za uč</w:t>
      </w:r>
      <w:r w:rsidRPr="003600DA">
        <w:rPr>
          <w:color w:val="1F497D" w:themeColor="text2"/>
          <w:sz w:val="24"/>
          <w:szCs w:val="24"/>
        </w:rPr>
        <w:t>enje jezika kasete bolje od knjiga, njima</w:t>
      </w:r>
      <w:r w:rsidR="00291F52" w:rsidRPr="003600DA">
        <w:rPr>
          <w:color w:val="1F497D" w:themeColor="text2"/>
          <w:sz w:val="24"/>
          <w:szCs w:val="24"/>
        </w:rPr>
        <w:t xml:space="preserve"> </w:t>
      </w:r>
      <w:r w:rsidRPr="003600DA">
        <w:rPr>
          <w:color w:val="1F497D" w:themeColor="text2"/>
          <w:sz w:val="24"/>
          <w:szCs w:val="24"/>
        </w:rPr>
        <w:t>se mora dati pri</w:t>
      </w:r>
      <w:r w:rsidR="00291F52" w:rsidRPr="003600DA">
        <w:rPr>
          <w:color w:val="1F497D" w:themeColor="text2"/>
          <w:sz w:val="24"/>
          <w:szCs w:val="24"/>
        </w:rPr>
        <w:t>mat. Ukoliko neka prezentacija Š</w:t>
      </w:r>
      <w:r w:rsidRPr="003600DA">
        <w:rPr>
          <w:color w:val="1F497D" w:themeColor="text2"/>
          <w:sz w:val="24"/>
          <w:szCs w:val="24"/>
        </w:rPr>
        <w:t>opena na kompakt</w:t>
      </w:r>
      <w:r w:rsidR="00291F52" w:rsidRPr="003600DA">
        <w:rPr>
          <w:color w:val="1F497D" w:themeColor="text2"/>
          <w:sz w:val="24"/>
          <w:szCs w:val="24"/>
        </w:rPr>
        <w:t xml:space="preserve"> </w:t>
      </w:r>
      <w:r w:rsidRPr="003600DA">
        <w:rPr>
          <w:color w:val="1F497D" w:themeColor="text2"/>
          <w:sz w:val="24"/>
          <w:szCs w:val="24"/>
        </w:rPr>
        <w:t>disk</w:t>
      </w:r>
      <w:r w:rsidR="00291F52" w:rsidRPr="003600DA">
        <w:rPr>
          <w:color w:val="1F497D" w:themeColor="text2"/>
          <w:sz w:val="24"/>
          <w:szCs w:val="24"/>
        </w:rPr>
        <w:t>u, sa dodatnim komentarima pomaž</w:t>
      </w:r>
      <w:r w:rsidRPr="003600DA">
        <w:rPr>
          <w:color w:val="1F497D" w:themeColor="text2"/>
          <w:sz w:val="24"/>
          <w:szCs w:val="24"/>
        </w:rPr>
        <w:t xml:space="preserve">e ljudima da </w:t>
      </w:r>
      <w:r w:rsidR="00291F52" w:rsidRPr="003600DA">
        <w:rPr>
          <w:color w:val="1F497D" w:themeColor="text2"/>
          <w:sz w:val="24"/>
          <w:szCs w:val="24"/>
        </w:rPr>
        <w:t>r</w:t>
      </w:r>
      <w:r w:rsidRPr="003600DA">
        <w:rPr>
          <w:color w:val="1F497D" w:themeColor="text2"/>
          <w:sz w:val="24"/>
          <w:szCs w:val="24"/>
        </w:rPr>
        <w:t>azumeju</w:t>
      </w:r>
      <w:r w:rsidR="00291F52" w:rsidRPr="003600DA">
        <w:rPr>
          <w:color w:val="1F497D" w:themeColor="text2"/>
          <w:sz w:val="24"/>
          <w:szCs w:val="24"/>
        </w:rPr>
        <w:t xml:space="preserve"> Š</w:t>
      </w:r>
      <w:r w:rsidRPr="003600DA">
        <w:rPr>
          <w:color w:val="1F497D" w:themeColor="text2"/>
          <w:sz w:val="24"/>
          <w:szCs w:val="24"/>
        </w:rPr>
        <w:t>opena, onda ne treba brinuti ukoliko ti isti ljudi ne kupe istoriju muzike</w:t>
      </w:r>
      <w:r w:rsidR="00291F52" w:rsidRPr="003600DA">
        <w:rPr>
          <w:color w:val="1F497D" w:themeColor="text2"/>
          <w:sz w:val="24"/>
          <w:szCs w:val="24"/>
        </w:rPr>
        <w:t xml:space="preserve"> u pet štampanih tomova. Čak i kada bi bilo tač</w:t>
      </w:r>
      <w:r w:rsidRPr="003600DA">
        <w:rPr>
          <w:color w:val="1F497D" w:themeColor="text2"/>
          <w:sz w:val="24"/>
          <w:szCs w:val="24"/>
        </w:rPr>
        <w:t>no da vizuelna</w:t>
      </w:r>
      <w:r w:rsidR="00291F52" w:rsidRPr="003600DA">
        <w:rPr>
          <w:color w:val="1F497D" w:themeColor="text2"/>
          <w:sz w:val="24"/>
          <w:szCs w:val="24"/>
        </w:rPr>
        <w:t xml:space="preserve"> </w:t>
      </w:r>
      <w:r w:rsidRPr="003600DA">
        <w:rPr>
          <w:color w:val="1F497D" w:themeColor="text2"/>
          <w:sz w:val="24"/>
          <w:szCs w:val="24"/>
        </w:rPr>
        <w:t>komunikacija danas odnosi prevagu nad pisanom, ne radi se o tome</w:t>
      </w:r>
      <w:r w:rsidR="00291F52" w:rsidRPr="003600DA">
        <w:rPr>
          <w:color w:val="1F497D" w:themeColor="text2"/>
          <w:sz w:val="24"/>
          <w:szCs w:val="24"/>
        </w:rPr>
        <w:t xml:space="preserve"> </w:t>
      </w:r>
      <w:r w:rsidRPr="003600DA">
        <w:rPr>
          <w:color w:val="1F497D" w:themeColor="text2"/>
          <w:sz w:val="24"/>
          <w:szCs w:val="24"/>
        </w:rPr>
        <w:t>da je potrebno suprotstavaljti pisanu i vizuelnu komunikaciju. Pravi</w:t>
      </w:r>
      <w:r w:rsidR="00291F52" w:rsidRPr="003600DA">
        <w:rPr>
          <w:color w:val="1F497D" w:themeColor="text2"/>
          <w:sz w:val="24"/>
          <w:szCs w:val="24"/>
        </w:rPr>
        <w:t xml:space="preserve"> problem leži u iznalaženju nač</w:t>
      </w:r>
      <w:r w:rsidRPr="003600DA">
        <w:rPr>
          <w:color w:val="1F497D" w:themeColor="text2"/>
          <w:sz w:val="24"/>
          <w:szCs w:val="24"/>
        </w:rPr>
        <w:t>ina da se obe ove vrste komunikacije</w:t>
      </w:r>
      <w:r w:rsidR="00291F52" w:rsidRPr="003600DA">
        <w:rPr>
          <w:color w:val="1F497D" w:themeColor="text2"/>
          <w:sz w:val="24"/>
          <w:szCs w:val="24"/>
        </w:rPr>
        <w:t xml:space="preserve"> poboljšaju što je više moguć</w:t>
      </w:r>
      <w:r w:rsidRPr="003600DA">
        <w:rPr>
          <w:color w:val="1F497D" w:themeColor="text2"/>
          <w:sz w:val="24"/>
          <w:szCs w:val="24"/>
        </w:rPr>
        <w:t>e.</w:t>
      </w:r>
    </w:p>
    <w:p w:rsidR="00291F52" w:rsidRPr="00CD43C7" w:rsidRDefault="00291F52" w:rsidP="00291F52">
      <w:pPr>
        <w:pStyle w:val="Bezrazmaka"/>
        <w:rPr>
          <w:rStyle w:val="Suptilnonaglaavanje"/>
          <w:color w:val="C00000"/>
        </w:rPr>
      </w:pPr>
      <w:r w:rsidRPr="00CD43C7">
        <w:rPr>
          <w:rStyle w:val="Suptilnonaglaavanje"/>
          <w:color w:val="C00000"/>
        </w:rPr>
        <w:t>Umberto Eko, Od interneta do G</w:t>
      </w:r>
      <w:r>
        <w:rPr>
          <w:rStyle w:val="Suptilnonaglaavanje"/>
          <w:color w:val="C00000"/>
        </w:rPr>
        <w:t>utenberga, Art 32, br. 15, str.39</w:t>
      </w:r>
      <w:r w:rsidRPr="00CD43C7">
        <w:rPr>
          <w:rStyle w:val="Suptilnonaglaavanje"/>
          <w:color w:val="C00000"/>
        </w:rPr>
        <w:t xml:space="preserve">, </w:t>
      </w:r>
    </w:p>
    <w:p w:rsidR="00291F52" w:rsidRPr="00253D26" w:rsidRDefault="00664526" w:rsidP="00291F52">
      <w:pPr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hyperlink r:id="rId7" w:history="1">
        <w:r w:rsidR="00291F52" w:rsidRPr="008971D7">
          <w:rPr>
            <w:rStyle w:val="Hiperveza"/>
            <w:sz w:val="24"/>
            <w:szCs w:val="24"/>
          </w:rPr>
          <w:t>http://sasa.radojcic.org/wp-content/uploads/2009/11/art032-15.pdf</w:t>
        </w:r>
      </w:hyperlink>
      <w:r w:rsidR="00291F52">
        <w:t xml:space="preserve"> </w:t>
      </w:r>
    </w:p>
    <w:p w:rsidR="002230F6" w:rsidRDefault="002230F6" w:rsidP="0079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sr-Cyrl-CS"/>
        </w:rPr>
      </w:pPr>
    </w:p>
    <w:p w:rsidR="002230F6" w:rsidRDefault="002230F6" w:rsidP="0079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sr-Cyrl-CS"/>
        </w:rPr>
      </w:pPr>
    </w:p>
    <w:p w:rsidR="002230F6" w:rsidRPr="003600DA" w:rsidRDefault="002230F6" w:rsidP="002230F6">
      <w:pPr>
        <w:jc w:val="center"/>
        <w:rPr>
          <w:color w:val="C0504D" w:themeColor="accent2"/>
          <w:sz w:val="24"/>
          <w:szCs w:val="24"/>
          <w:lang w:val="sr-Cyrl-CS"/>
        </w:rPr>
      </w:pP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  <w:r w:rsidRPr="003600DA">
        <w:rPr>
          <w:color w:val="C0504D" w:themeColor="accent2"/>
          <w:sz w:val="24"/>
          <w:szCs w:val="24"/>
          <w:lang w:val="en-US"/>
        </w:rPr>
        <w:t xml:space="preserve">   </w:t>
      </w: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  <w:r w:rsidRPr="003600DA">
        <w:rPr>
          <w:color w:val="C0504D" w:themeColor="accent2"/>
          <w:sz w:val="24"/>
          <w:szCs w:val="24"/>
          <w:lang w:val="en-US"/>
        </w:rPr>
        <w:t xml:space="preserve">   </w:t>
      </w:r>
      <w:r w:rsidRPr="003600DA">
        <w:rPr>
          <w:color w:val="C0504D" w:themeColor="accent2"/>
          <w:sz w:val="24"/>
          <w:szCs w:val="24"/>
          <w:lang w:val="sr-Cyrl-CS"/>
        </w:rPr>
        <w:sym w:font="Webdings" w:char="F0B3"/>
      </w:r>
    </w:p>
    <w:p w:rsidR="00791720" w:rsidRDefault="00791720" w:rsidP="00067D78">
      <w:pPr>
        <w:jc w:val="both"/>
        <w:rPr>
          <w:rFonts w:ascii="Times New Roman" w:hAnsi="Times New Roman" w:cs="Times New Roman"/>
          <w:color w:val="000000"/>
          <w:lang w:val="sr-Cyrl-CS" w:eastAsia="sr-Cyrl-CS"/>
        </w:rPr>
      </w:pPr>
      <w:r w:rsidRPr="003600DA">
        <w:rPr>
          <w:color w:val="1F497D" w:themeColor="text2"/>
          <w:sz w:val="24"/>
          <w:szCs w:val="24"/>
          <w:lang w:val="sr-Cyrl-CS" w:eastAsia="sr-Cyrl-CS"/>
        </w:rPr>
        <w:t xml:space="preserve">Могућност преношења књижевних текстова, у друге медије могли бисмо поткрепити схемом М. Матијевића </w:t>
      </w:r>
      <w:r w:rsidRPr="003600DA">
        <w:rPr>
          <w:color w:val="1F497D" w:themeColor="text2"/>
          <w:sz w:val="24"/>
          <w:szCs w:val="24"/>
          <w:lang w:eastAsia="sr-Cyrl-CS"/>
        </w:rPr>
        <w:t>(2002a, 267-276).</w:t>
      </w:r>
      <w:r w:rsidRPr="003600DA">
        <w:rPr>
          <w:color w:val="1F497D" w:themeColor="text2"/>
          <w:sz w:val="24"/>
          <w:szCs w:val="24"/>
          <w:lang w:val="sr-Cyrl-CS" w:eastAsia="sr-Cyrl-CS"/>
        </w:rPr>
        <w:t xml:space="preserve"> </w:t>
      </w:r>
    </w:p>
    <w:p w:rsidR="00791720" w:rsidRDefault="00791720" w:rsidP="0022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 w:eastAsia="sr-Cyrl-CS"/>
        </w:rPr>
      </w:pPr>
      <w:r>
        <w:rPr>
          <w:rFonts w:ascii="Times New Roman" w:hAnsi="Times New Roman" w:cs="Times New Roman"/>
          <w:noProof/>
          <w:color w:val="000000"/>
          <w:lang w:eastAsia="sr-Latn-CS"/>
        </w:rPr>
        <w:drawing>
          <wp:inline distT="0" distB="0" distL="0" distR="0">
            <wp:extent cx="4467225" cy="3923919"/>
            <wp:effectExtent l="19050" t="0" r="9525" b="0"/>
            <wp:docPr id="1" name="Slika 0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92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20" w:rsidRDefault="00791720" w:rsidP="00791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CS" w:eastAsia="sr-Cyrl-CS"/>
        </w:rPr>
      </w:pPr>
    </w:p>
    <w:p w:rsidR="00791720" w:rsidRPr="003600DA" w:rsidRDefault="00791720" w:rsidP="002230F6">
      <w:pPr>
        <w:jc w:val="both"/>
        <w:rPr>
          <w:color w:val="1F497D" w:themeColor="text2"/>
          <w:sz w:val="24"/>
          <w:szCs w:val="24"/>
          <w:lang w:val="sr-Cyrl-CS" w:eastAsia="sr-Cyrl-CS"/>
        </w:rPr>
      </w:pPr>
      <w:r w:rsidRPr="003600DA">
        <w:rPr>
          <w:color w:val="1F497D" w:themeColor="text2"/>
          <w:sz w:val="24"/>
          <w:szCs w:val="24"/>
          <w:lang w:val="sr-Cyrl-CS" w:eastAsia="sr-Cyrl-CS"/>
        </w:rPr>
        <w:t>Чувени амерички психолог Вилијем Џемс истицао је да су све реформе и иновације у настави биле тешко реализоване, или су чак пропадале због неспремности наставника да изврши жељене промене. Исто тако, степен заступљености мултимедија у настави књижевности искључиво зависи од спремности и способности наставника за увођење новина у рад, што аутоматски захтева и његово лично усавршавање. То значи, да наставници морају прво усавршавати себе, како би могли мењати и свој стандардни положај условљен традиционалном наставом. У информатизованој настави ових садржаја, наставник добија нову улогу. Улогу водитеља, аниматора, психолога, па и терапеута, тј. васпитача, а престаје бити једини извор информација.</w:t>
      </w:r>
    </w:p>
    <w:p w:rsidR="00791720" w:rsidRPr="003600DA" w:rsidRDefault="00791720" w:rsidP="002230F6">
      <w:pPr>
        <w:jc w:val="both"/>
        <w:rPr>
          <w:color w:val="1F497D" w:themeColor="text2"/>
          <w:sz w:val="24"/>
          <w:szCs w:val="24"/>
          <w:lang w:val="sr-Cyrl-CS" w:eastAsia="sr-Cyrl-CS"/>
        </w:rPr>
      </w:pPr>
      <w:r w:rsidRPr="003600DA">
        <w:rPr>
          <w:color w:val="1F497D" w:themeColor="text2"/>
          <w:sz w:val="24"/>
          <w:szCs w:val="24"/>
          <w:lang w:val="sr-Cyrl-CS" w:eastAsia="sr-Cyrl-CS"/>
        </w:rPr>
        <w:t xml:space="preserve">Међутим, неопходно је напоменути да преношење књижевног текста у друге медије мора попримити разумне мере. </w:t>
      </w:r>
      <w:r w:rsidRPr="003600DA">
        <w:rPr>
          <w:b/>
          <w:bCs/>
          <w:i/>
          <w:iCs/>
          <w:color w:val="1F497D" w:themeColor="text2"/>
          <w:sz w:val="24"/>
          <w:szCs w:val="24"/>
          <w:lang w:val="sr-Cyrl-CS" w:eastAsia="sr-Cyrl-CS"/>
        </w:rPr>
        <w:t>Не сме се у томе претеривати и занемарива</w:t>
      </w:r>
      <w:r w:rsidR="00700A59" w:rsidRPr="003600DA">
        <w:rPr>
          <w:b/>
          <w:bCs/>
          <w:i/>
          <w:iCs/>
          <w:color w:val="1F497D" w:themeColor="text2"/>
          <w:sz w:val="24"/>
          <w:szCs w:val="24"/>
          <w:lang w:val="sr-Cyrl-CS" w:eastAsia="sr-Cyrl-CS"/>
        </w:rPr>
        <w:t>ти ни жива реч наставника ни књи</w:t>
      </w:r>
      <w:r w:rsidRPr="003600DA">
        <w:rPr>
          <w:b/>
          <w:bCs/>
          <w:i/>
          <w:iCs/>
          <w:color w:val="1F497D" w:themeColor="text2"/>
          <w:sz w:val="24"/>
          <w:szCs w:val="24"/>
          <w:lang w:val="sr-Cyrl-CS" w:eastAsia="sr-Cyrl-CS"/>
        </w:rPr>
        <w:t>жевни текст.</w:t>
      </w:r>
      <w:r w:rsidR="00067D78">
        <w:rPr>
          <w:b/>
          <w:bCs/>
          <w:i/>
          <w:iCs/>
          <w:color w:val="1F497D" w:themeColor="text2"/>
          <w:sz w:val="24"/>
          <w:szCs w:val="24"/>
          <w:lang w:val="en-US" w:eastAsia="sr-Cyrl-CS"/>
        </w:rPr>
        <w:t xml:space="preserve"> </w:t>
      </w:r>
      <w:r w:rsidRPr="003600DA">
        <w:rPr>
          <w:color w:val="1F497D" w:themeColor="text2"/>
          <w:sz w:val="24"/>
          <w:szCs w:val="24"/>
          <w:lang w:val="sr-Cyrl-CS" w:eastAsia="sr-Cyrl-CS"/>
        </w:rPr>
        <w:t>Визуелни медији пружају гледаоцу доживљавање за кратко време. Екранизована верзија дела нуди читаочевој машти уобличене слике. Представљањем дела путем мас-медија читалац се лишава низа епизода, одступања, паралелизама, социо-афективног искуства, а све то умањује снагу, људску топлину и друге вредности што даје делу чар привлачности, што чини његову литерарност.</w:t>
      </w:r>
    </w:p>
    <w:p w:rsidR="00791720" w:rsidRPr="002230F6" w:rsidRDefault="00791720" w:rsidP="00791720">
      <w:pPr>
        <w:autoSpaceDE w:val="0"/>
        <w:autoSpaceDN w:val="0"/>
        <w:adjustRightInd w:val="0"/>
        <w:spacing w:after="0" w:line="240" w:lineRule="auto"/>
        <w:rPr>
          <w:rStyle w:val="Suptilnonaglaavanje"/>
          <w:color w:val="C00000"/>
        </w:rPr>
      </w:pPr>
      <w:r w:rsidRPr="002230F6">
        <w:rPr>
          <w:rStyle w:val="Suptilnonaglaavanje"/>
          <w:i w:val="0"/>
          <w:color w:val="C00000"/>
        </w:rPr>
        <w:t>П. Илић, О. Гајић, М. Маљковић</w:t>
      </w:r>
      <w:r w:rsidRPr="002230F6">
        <w:rPr>
          <w:rStyle w:val="Suptilnonaglaavanje"/>
          <w:color w:val="C00000"/>
        </w:rPr>
        <w:t xml:space="preserve">, Криза читања, </w:t>
      </w:r>
      <w:r w:rsidRPr="002230F6">
        <w:rPr>
          <w:rStyle w:val="Suptilnonaglaavanje"/>
          <w:i w:val="0"/>
          <w:color w:val="C00000"/>
        </w:rPr>
        <w:t>Нови Сад, Градска библиотека, 2007, стр. 106, 108.</w:t>
      </w:r>
      <w:r w:rsidRPr="002230F6">
        <w:rPr>
          <w:rStyle w:val="Suptilnonaglaavanje"/>
          <w:color w:val="C00000"/>
        </w:rPr>
        <w:t xml:space="preserve"> </w:t>
      </w:r>
    </w:p>
    <w:p w:rsidR="00791720" w:rsidRPr="00067D78" w:rsidRDefault="00791720" w:rsidP="0079172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 w:eastAsia="sr-Cyrl-CS"/>
        </w:rPr>
      </w:pPr>
    </w:p>
    <w:sectPr w:rsidR="00791720" w:rsidRPr="00067D78" w:rsidSect="00067D78">
      <w:headerReference w:type="default" r:id="rId9"/>
      <w:pgSz w:w="11906" w:h="16838"/>
      <w:pgMar w:top="1135" w:right="1080" w:bottom="851" w:left="108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8C" w:rsidRDefault="004B168C" w:rsidP="00067D78">
      <w:pPr>
        <w:spacing w:after="0" w:line="240" w:lineRule="auto"/>
      </w:pPr>
      <w:r>
        <w:separator/>
      </w:r>
    </w:p>
  </w:endnote>
  <w:endnote w:type="continuationSeparator" w:id="0">
    <w:p w:rsidR="004B168C" w:rsidRDefault="004B168C" w:rsidP="0006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8C" w:rsidRDefault="004B168C" w:rsidP="00067D78">
      <w:pPr>
        <w:spacing w:after="0" w:line="240" w:lineRule="auto"/>
      </w:pPr>
      <w:r>
        <w:separator/>
      </w:r>
    </w:p>
  </w:footnote>
  <w:footnote w:type="continuationSeparator" w:id="0">
    <w:p w:rsidR="004B168C" w:rsidRDefault="004B168C" w:rsidP="0006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D78" w:rsidRDefault="00067D78">
    <w:pPr>
      <w:pStyle w:val="Zaglavljestranic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3.75pt;margin-top:35.1pt;width:54pt;height:13.45pt;z-index:251660288;mso-width-percent:1000;mso-position-horizontal-relative:page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067D78" w:rsidRDefault="00067D78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Pr="00067D78">
                    <w:rPr>
                      <w:noProof/>
                      <w:color w:val="FFFFFF" w:themeColor="background1"/>
                    </w:rPr>
                    <w:t>3</w:t>
                  </w:r>
                </w:fldSimple>
              </w:p>
            </w:txbxContent>
          </v:textbox>
          <w10:wrap anchorx="page" anchory="margin"/>
        </v:shape>
      </w:pict>
    </w:r>
    <w:r>
      <w:rPr>
        <w:noProof/>
        <w:lang w:eastAsia="zh-TW"/>
      </w:rPr>
      <w:pict>
        <v:shape id="_x0000_s8194" type="#_x0000_t202" style="position:absolute;margin-left:0;margin-top:35.1pt;width:487.3pt;height:13.45pt;z-index:251661312;mso-width-percent:1000;mso-position-horizontal-relative:margin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b/>
                    <w:color w:val="1F497D" w:themeColor="text2"/>
                  </w:rPr>
                  <w:alias w:val="Naslov"/>
                  <w:id w:val="78679243"/>
                  <w:placeholder>
                    <w:docPart w:val="E0615813D5864745AD7D9BE970E1BAB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67D78" w:rsidRDefault="00067D78" w:rsidP="00067D78">
                    <w:pPr>
                      <w:spacing w:after="0" w:line="240" w:lineRule="auto"/>
                      <w:jc w:val="center"/>
                    </w:pPr>
                    <w:r w:rsidRPr="00067D78">
                      <w:rPr>
                        <w:b/>
                        <w:color w:val="1F497D" w:themeColor="text2"/>
                        <w:lang w:val="sr-Cyrl-CS"/>
                      </w:rPr>
                      <w:t>МЕДИЈСКА  ПИСМЕНОСТ</w:t>
                    </w:r>
                  </w:p>
                </w:sdtContent>
              </w:sdt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6BD"/>
    <w:multiLevelType w:val="hybridMultilevel"/>
    <w:tmpl w:val="6D0A9F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78AF"/>
    <w:multiLevelType w:val="hybridMultilevel"/>
    <w:tmpl w:val="261E9C4A"/>
    <w:lvl w:ilvl="0" w:tplc="12B04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34E45"/>
    <w:multiLevelType w:val="hybridMultilevel"/>
    <w:tmpl w:val="EE6A00A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30964"/>
    <w:multiLevelType w:val="hybridMultilevel"/>
    <w:tmpl w:val="C1D804BA"/>
    <w:lvl w:ilvl="0" w:tplc="AC42E2FC">
      <w:numFmt w:val="bullet"/>
      <w:lvlText w:val="•"/>
      <w:lvlJc w:val="left"/>
      <w:pPr>
        <w:ind w:left="720" w:hanging="360"/>
      </w:pPr>
      <w:rPr>
        <w:rFonts w:ascii="Calibri" w:eastAsiaTheme="minorHAnsi" w:hAnsi="Calibri" w:cs="Century Schoolbook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4663A"/>
    <w:rsid w:val="00023671"/>
    <w:rsid w:val="00067D78"/>
    <w:rsid w:val="00072BC7"/>
    <w:rsid w:val="00085F06"/>
    <w:rsid w:val="0008638D"/>
    <w:rsid w:val="000A3285"/>
    <w:rsid w:val="000A4FB2"/>
    <w:rsid w:val="00122CFB"/>
    <w:rsid w:val="00187741"/>
    <w:rsid w:val="0022302F"/>
    <w:rsid w:val="002230F6"/>
    <w:rsid w:val="002257DE"/>
    <w:rsid w:val="00253D26"/>
    <w:rsid w:val="00255481"/>
    <w:rsid w:val="00291F52"/>
    <w:rsid w:val="0030712C"/>
    <w:rsid w:val="00323313"/>
    <w:rsid w:val="003302A8"/>
    <w:rsid w:val="003600DA"/>
    <w:rsid w:val="00375302"/>
    <w:rsid w:val="004368F3"/>
    <w:rsid w:val="004A6404"/>
    <w:rsid w:val="004B168C"/>
    <w:rsid w:val="004B42F4"/>
    <w:rsid w:val="00510C86"/>
    <w:rsid w:val="00531ACA"/>
    <w:rsid w:val="00575D95"/>
    <w:rsid w:val="006155D9"/>
    <w:rsid w:val="006532AC"/>
    <w:rsid w:val="00664526"/>
    <w:rsid w:val="00683899"/>
    <w:rsid w:val="006A3CB2"/>
    <w:rsid w:val="006D61A5"/>
    <w:rsid w:val="006F1ABC"/>
    <w:rsid w:val="00700A59"/>
    <w:rsid w:val="00761200"/>
    <w:rsid w:val="00791720"/>
    <w:rsid w:val="007C6BD0"/>
    <w:rsid w:val="007F3668"/>
    <w:rsid w:val="00853ECB"/>
    <w:rsid w:val="008B5CC1"/>
    <w:rsid w:val="00917B46"/>
    <w:rsid w:val="00960A68"/>
    <w:rsid w:val="00977BBB"/>
    <w:rsid w:val="009A607B"/>
    <w:rsid w:val="00A00D45"/>
    <w:rsid w:val="00A05602"/>
    <w:rsid w:val="00A20C2A"/>
    <w:rsid w:val="00A479DE"/>
    <w:rsid w:val="00AB7D85"/>
    <w:rsid w:val="00AE4876"/>
    <w:rsid w:val="00C02604"/>
    <w:rsid w:val="00D22227"/>
    <w:rsid w:val="00D4663A"/>
    <w:rsid w:val="00D50282"/>
    <w:rsid w:val="00D831BE"/>
    <w:rsid w:val="00DC1A83"/>
    <w:rsid w:val="00DD0D48"/>
    <w:rsid w:val="00E618AD"/>
    <w:rsid w:val="00E8024A"/>
    <w:rsid w:val="00F61AB6"/>
    <w:rsid w:val="00F80B68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9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831BE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5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532AC"/>
    <w:rPr>
      <w:rFonts w:ascii="Tahoma" w:hAnsi="Tahoma" w:cs="Tahoma"/>
      <w:sz w:val="16"/>
      <w:szCs w:val="16"/>
    </w:rPr>
  </w:style>
  <w:style w:type="character" w:styleId="Suptilnonaglaavanje">
    <w:name w:val="Subtle Emphasis"/>
    <w:basedOn w:val="Podrazumevanifontpasusa"/>
    <w:uiPriority w:val="19"/>
    <w:qFormat/>
    <w:rsid w:val="002230F6"/>
    <w:rPr>
      <w:i/>
      <w:iCs/>
      <w:color w:val="808080" w:themeColor="text1" w:themeTint="7F"/>
    </w:rPr>
  </w:style>
  <w:style w:type="character" w:styleId="Hiperveza">
    <w:name w:val="Hyperlink"/>
    <w:basedOn w:val="Podrazumevanifontpasusa"/>
    <w:uiPriority w:val="99"/>
    <w:unhideWhenUsed/>
    <w:rsid w:val="00291F52"/>
    <w:rPr>
      <w:color w:val="0000FF" w:themeColor="hyperlink"/>
      <w:u w:val="single"/>
    </w:rPr>
  </w:style>
  <w:style w:type="paragraph" w:styleId="Bezrazmaka">
    <w:name w:val="No Spacing"/>
    <w:uiPriority w:val="1"/>
    <w:qFormat/>
    <w:rsid w:val="00291F52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067D7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067D78"/>
  </w:style>
  <w:style w:type="paragraph" w:styleId="Podnojestranice">
    <w:name w:val="footer"/>
    <w:basedOn w:val="Normal"/>
    <w:link w:val="PodnojestraniceChar"/>
    <w:uiPriority w:val="99"/>
    <w:semiHidden/>
    <w:unhideWhenUsed/>
    <w:rsid w:val="00067D7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067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asa.radojcic.org/wp-content/uploads/2009/11/art032-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615813D5864745AD7D9BE970E1BAB2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514E0B36-0088-42A9-A7F8-75720D0A9651}"/>
      </w:docPartPr>
      <w:docPartBody>
        <w:p w:rsidR="00000000" w:rsidRDefault="006116E6" w:rsidP="006116E6">
          <w:pPr>
            <w:pStyle w:val="E0615813D5864745AD7D9BE970E1BAB2"/>
          </w:pPr>
          <w:r>
            <w:t>[Otkucajte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16E6"/>
    <w:rsid w:val="006116E6"/>
    <w:rsid w:val="0096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E0615813D5864745AD7D9BE970E1BAB2">
    <w:name w:val="E0615813D5864745AD7D9BE970E1BAB2"/>
    <w:rsid w:val="006116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Juric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МЕДИЈСКА  ПИСМЕНОСТ</dc:title>
  <dc:subject/>
  <dc:creator>Slavica Juric</dc:creator>
  <cp:keywords/>
  <dc:description/>
  <cp:lastModifiedBy>Slavica Juric</cp:lastModifiedBy>
  <cp:revision>11</cp:revision>
  <cp:lastPrinted>2010-10-01T08:34:00Z</cp:lastPrinted>
  <dcterms:created xsi:type="dcterms:W3CDTF">2010-09-30T22:29:00Z</dcterms:created>
  <dcterms:modified xsi:type="dcterms:W3CDTF">2010-10-03T22:08:00Z</dcterms:modified>
</cp:coreProperties>
</file>