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78" w:rsidRDefault="005A7F2D">
      <w:r>
        <w:rPr>
          <w:rStyle w:val="Textoennegrita"/>
          <w:rFonts w:ascii="Arial" w:hAnsi="Arial" w:cs="Arial"/>
          <w:sz w:val="20"/>
          <w:szCs w:val="20"/>
        </w:rPr>
        <w:t>TEXTO 8: LA RESOLUCIÓN DE LA ONU SOBRE RELACIONES CON ESPAÑA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A) Por su origen, naturaleza, estructura y comportamiento general, el régimen de Franco es un régimen fascista, organizado e implantado en gran parte merced a la ayuda de la Alemania nazi y de la Italia fascista de Mussolini.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B) Durante la larga lucha de las Naciones Unidas contra Hitler y Mussolini, Franco prestó una ayuda muy considerable a las potencias enemigas, a pesar de las continuas protestas de los aliados. [...]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La Asamblea General, convencida de que el Gobierno fascista de Franco en España [...] no representa al pueblo español [...], recomienda que se prohíba al Gobierno de Franco pertenecer a los organismos internacionales creados por las Naciones Unidas, o relacionados con ellas, y participar en conferencias y otras actividades que puedan concertar las Naciones Unidas, o dichos organismos, hasta que se forme en España un gobierno nuevo y adecuado.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Además [...], recomienda que, si dentro de un plazo razonable, no se establece en España un gobierno cuya autoridad proceda de sus gobernados y que se comprometa a respetar la libertad de expresión, de religión y de reunión, y a celebrar cuanto antes elecciones en las que el pueblo español pueda expresar su voluntad, libre de coacción y de intimidación, y de coacción de partido, el Consejo de Seguridad estudie las medidas para remediar tal situación.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Asimismo, la Asamblea recomienda que todos los Estados miembros de las Naciones Unidas retiren inmediatamente los embajadores y ministros plenipotenciarios que tienen acreditados en Madrid. [...]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Textoennegrita"/>
          <w:rFonts w:ascii="Arial" w:hAnsi="Arial" w:cs="Arial"/>
          <w:sz w:val="20"/>
          <w:szCs w:val="20"/>
        </w:rPr>
        <w:t>Resolución de la Asamblea General de las Naciones Unidas, Nueva York, 12 de diciembre de 1946.</w:t>
      </w:r>
      <w:bookmarkStart w:id="0" w:name="_GoBack"/>
      <w:bookmarkEnd w:id="0"/>
    </w:p>
    <w:sectPr w:rsidR="00934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2D"/>
    <w:rsid w:val="005A7F2D"/>
    <w:rsid w:val="0093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A7F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A7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2011-03-23T15:54:00Z</dcterms:created>
  <dcterms:modified xsi:type="dcterms:W3CDTF">2011-03-23T15:55:00Z</dcterms:modified>
</cp:coreProperties>
</file>