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C1" w:rsidRDefault="00762B22" w:rsidP="00762B22">
      <w:pPr>
        <w:jc w:val="center"/>
        <w:rPr>
          <w:sz w:val="36"/>
          <w:szCs w:val="36"/>
        </w:rPr>
      </w:pPr>
      <w:r>
        <w:rPr>
          <w:sz w:val="36"/>
          <w:szCs w:val="36"/>
        </w:rPr>
        <w:t>CALIDAD DE VIDA</w:t>
      </w:r>
    </w:p>
    <w:p w:rsidR="00762B22" w:rsidRPr="00762B22" w:rsidRDefault="00762B22" w:rsidP="00762B22">
      <w:pPr>
        <w:jc w:val="both"/>
        <w:rPr>
          <w:sz w:val="28"/>
          <w:szCs w:val="28"/>
        </w:rPr>
      </w:pPr>
      <w:r w:rsidRPr="00762B22">
        <w:rPr>
          <w:sz w:val="28"/>
          <w:szCs w:val="28"/>
        </w:rPr>
        <w:t>Calidad de vida es un concepto utilizado para el bienestar social general de individuos y sociedades. El término se utiliza en una generalidad de contextos, tales como sociología, ciencia política, estudios médicos, estudios del desarrollo, etc. No debe ser confundido con el concepto de estándar o nivel de vida, que se basa primariamente en ingresos. Indicadores de calidad de vida incluyen no solo elementos de riqueza y empleo sino también de ambiente físico y arquitectónico, salud física y mental, educación, recreación y p</w:t>
      </w:r>
      <w:r>
        <w:rPr>
          <w:sz w:val="28"/>
          <w:szCs w:val="28"/>
        </w:rPr>
        <w:t>ertenencia o cohesión social.</w:t>
      </w:r>
    </w:p>
    <w:p w:rsidR="00762B22" w:rsidRPr="00762B22" w:rsidRDefault="00762B22" w:rsidP="00762B22">
      <w:pPr>
        <w:rPr>
          <w:sz w:val="28"/>
          <w:szCs w:val="28"/>
        </w:rPr>
      </w:pPr>
    </w:p>
    <w:sectPr w:rsidR="00762B22" w:rsidRPr="00762B22" w:rsidSect="006A0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62B22"/>
    <w:rsid w:val="006A05C1"/>
    <w:rsid w:val="0076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Company>-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Mtra. Ana Laura</dc:creator>
  <cp:keywords/>
  <dc:description/>
  <cp:lastModifiedBy>Mtra. Ana Laura</cp:lastModifiedBy>
  <cp:revision>1</cp:revision>
  <dcterms:created xsi:type="dcterms:W3CDTF">2011-06-08T23:27:00Z</dcterms:created>
  <dcterms:modified xsi:type="dcterms:W3CDTF">2011-06-08T23:28:00Z</dcterms:modified>
</cp:coreProperties>
</file>