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E4" w:rsidRDefault="004260E4" w:rsidP="004260E4">
      <w:pPr>
        <w:jc w:val="center"/>
        <w:rPr>
          <w:rFonts w:ascii="Arial" w:hAnsi="Arial" w:cs="Arial"/>
          <w:b/>
          <w:color w:val="8064A2" w:themeColor="accent4"/>
          <w:sz w:val="24"/>
          <w:szCs w:val="24"/>
        </w:rPr>
      </w:pPr>
      <w:r>
        <w:rPr>
          <w:rFonts w:ascii="Arial" w:hAnsi="Arial" w:cs="Arial"/>
          <w:b/>
          <w:color w:val="8064A2" w:themeColor="accent4"/>
          <w:sz w:val="24"/>
          <w:szCs w:val="24"/>
        </w:rPr>
        <w:t>COMUNIDADES DE PRÁCTICA</w:t>
      </w:r>
    </w:p>
    <w:p w:rsidR="004260E4" w:rsidRPr="00061F34" w:rsidRDefault="004260E4" w:rsidP="004260E4">
      <w:pPr>
        <w:rPr>
          <w:rFonts w:ascii="Arial" w:hAnsi="Arial" w:cs="Arial"/>
          <w:b/>
          <w:color w:val="8064A2" w:themeColor="accent4"/>
          <w:sz w:val="24"/>
          <w:szCs w:val="24"/>
        </w:rPr>
      </w:pPr>
    </w:p>
    <w:p w:rsidR="004260E4" w:rsidRDefault="004260E4" w:rsidP="004260E4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4984750</wp:posOffset>
            </wp:positionV>
            <wp:extent cx="1590675" cy="1403350"/>
            <wp:effectExtent l="171450" t="133350" r="371475" b="311150"/>
            <wp:wrapSquare wrapText="bothSides"/>
            <wp:docPr id="9" name="Imagen 7" descr="http://www.culturaemedellin.gov.co/sites/CulturaE/Comunidadesvirtuales/PublishingImages/empr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www.culturaemedellin.gov.co/sites/CulturaE/Comunidadesvirtuales/PublishingImages/empre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0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962660</wp:posOffset>
            </wp:positionV>
            <wp:extent cx="1950720" cy="1993265"/>
            <wp:effectExtent l="19050" t="0" r="0" b="0"/>
            <wp:wrapThrough wrapText="bothSides">
              <wp:wrapPolygon edited="0">
                <wp:start x="-211" y="0"/>
                <wp:lineTo x="-211" y="21469"/>
                <wp:lineTo x="21516" y="21469"/>
                <wp:lineTo x="21516" y="0"/>
                <wp:lineTo x="-211" y="0"/>
              </wp:wrapPolygon>
            </wp:wrapThrough>
            <wp:docPr id="2" name="Imagen 10" descr="http://www.isdem.gob.sv/nueva/images/stories/logo_co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www.isdem.gob.sv/nueva/images/stories/logo_cop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6D2">
        <w:rPr>
          <w:rStyle w:val="Textoennegrita"/>
          <w:rFonts w:ascii="Arial" w:hAnsi="Arial" w:cs="Arial"/>
          <w:color w:val="333333"/>
          <w:sz w:val="24"/>
          <w:szCs w:val="24"/>
        </w:rPr>
        <w:t>Principios básicos de las comunidades de práctica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Las comunidades de práctica se basan en un principio elemental: todos tienen algo para enseñar y todos tienen algo para aprender.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El éxito propio es el éxito de los demás, y sólo la colaboración y la participación activa permitirán resolver los problemas comunes.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Se trata, en síntesis, de un grupo que, mediante la interacción de conocimiento, prácticas e información, se ayuda mutuamente desarrollando competencias para resolver un problema o avanzar en una idea o</w:t>
      </w:r>
      <w:r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hyperlink r:id="rId6" w:history="1">
        <w:r w:rsidRPr="00E976D2">
          <w:rPr>
            <w:rStyle w:val="Hipervnculo"/>
            <w:rFonts w:ascii="Arial" w:hAnsi="Arial" w:cs="Arial"/>
            <w:color w:val="000000"/>
            <w:sz w:val="24"/>
            <w:szCs w:val="24"/>
          </w:rPr>
          <w:t>proyecto</w:t>
        </w:r>
      </w:hyperlink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A diferencia de otros tipos de redes sociales, las comunidades de práctica necesitan una figura, un líder que las mantenga vivas, que juegue un rol de</w:t>
      </w:r>
      <w:r w:rsidRPr="00E976D2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hyperlink r:id="rId7" w:history="1">
        <w:r w:rsidRPr="00E976D2">
          <w:rPr>
            <w:rStyle w:val="Hipervnculo"/>
            <w:rFonts w:ascii="Arial" w:hAnsi="Arial" w:cs="Arial"/>
            <w:color w:val="000000"/>
            <w:sz w:val="24"/>
            <w:szCs w:val="24"/>
          </w:rPr>
          <w:t>facilitador</w:t>
        </w:r>
      </w:hyperlink>
      <w:r w:rsidRPr="00E976D2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para cohesionarse y establecer relaciones de confianza.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Cada participante debe sentirse cómodo y reconocido para aportar o traer un problema a la comunidad y, a su vez, percibir que la comunidad intenta ayudarlo.</w:t>
      </w:r>
      <w:r w:rsidRPr="00E976D2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</w:p>
    <w:p w:rsidR="004260E4" w:rsidRDefault="004260E4" w:rsidP="004260E4">
      <w:pPr>
        <w:rPr>
          <w:rStyle w:val="apple-style-span"/>
          <w:rFonts w:ascii="Arial" w:hAnsi="Arial" w:cs="Arial"/>
          <w:color w:val="333333"/>
          <w:sz w:val="24"/>
          <w:szCs w:val="24"/>
        </w:rPr>
      </w:pP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Textoennegrita"/>
          <w:rFonts w:ascii="Arial" w:hAnsi="Arial" w:cs="Arial"/>
          <w:color w:val="333333"/>
          <w:sz w:val="24"/>
          <w:szCs w:val="24"/>
        </w:rPr>
        <w:t>Comunidades de práctica y gestión del conocimiento organizacional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Las comunidades de práctica pueden convertirse en formidables herramientas para gestionar </w:t>
      </w:r>
      <w:proofErr w:type="spellStart"/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el</w:t>
      </w:r>
      <w:hyperlink r:id="rId8" w:history="1">
        <w:r w:rsidRPr="00E976D2">
          <w:rPr>
            <w:rStyle w:val="Hipervnculo"/>
            <w:rFonts w:ascii="Arial" w:hAnsi="Arial" w:cs="Arial"/>
            <w:color w:val="000000"/>
            <w:sz w:val="24"/>
            <w:szCs w:val="24"/>
          </w:rPr>
          <w:t>conocimiento</w:t>
        </w:r>
        <w:proofErr w:type="spellEnd"/>
        <w:r w:rsidRPr="00E976D2">
          <w:rPr>
            <w:rStyle w:val="Hipervnculo"/>
            <w:rFonts w:ascii="Arial" w:hAnsi="Arial" w:cs="Arial"/>
            <w:color w:val="000000"/>
            <w:sz w:val="24"/>
            <w:szCs w:val="24"/>
          </w:rPr>
          <w:t xml:space="preserve"> de las organizaciones</w:t>
        </w:r>
      </w:hyperlink>
      <w:r w:rsidRPr="00E976D2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más allá de los límites de los sistemas formales.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En efecto, los tradicionales</w:t>
      </w:r>
      <w:r w:rsidRPr="00E976D2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hyperlink r:id="rId9" w:history="1">
        <w:r w:rsidRPr="00E976D2">
          <w:rPr>
            <w:rStyle w:val="Hipervnculo"/>
            <w:rFonts w:ascii="Arial" w:hAnsi="Arial" w:cs="Arial"/>
            <w:color w:val="000000"/>
            <w:sz w:val="24"/>
            <w:szCs w:val="24"/>
          </w:rPr>
          <w:t>organigramas</w:t>
        </w:r>
      </w:hyperlink>
      <w:r w:rsidRPr="00E976D2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corporativos no siempre vinculan entre sí a personas con intereses comunes o habilidades específicas para resolver un problema determinado.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Imaginemos, por ejemplo, a un ejecutivo con la tarea de liderar un</w:t>
      </w:r>
      <w:r w:rsidRPr="00E976D2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hyperlink r:id="rId10" w:history="1">
        <w:r w:rsidRPr="00E976D2">
          <w:rPr>
            <w:rStyle w:val="Hipervnculo"/>
            <w:rFonts w:ascii="Arial" w:hAnsi="Arial" w:cs="Arial"/>
            <w:color w:val="000000"/>
            <w:sz w:val="24"/>
            <w:szCs w:val="24"/>
          </w:rPr>
          <w:t>grupo de trabajo intercultural</w:t>
        </w:r>
      </w:hyperlink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lastRenderedPageBreak/>
        <w:t xml:space="preserve">Sus jefes, colegas y colaboradores directos tal vez carezcan de la </w:t>
      </w:r>
      <w:proofErr w:type="spellStart"/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expertise</w:t>
      </w:r>
      <w:proofErr w:type="spellEnd"/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para aconsejarlo.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Pero quizá la organización sí tenga en su interior muchos especialistas en estos temas. Por ejemplo, personas que han investigado esta problemática u otros directivos que, en el pasado, también han enfrentado el desafío de liderar un equipo intercultural.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De esta forma, el ejecutivo puede ingresar en aquella comunidad online y acceder inmediatamente a las mejores prácticas en la materia.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Incluso, puede pedir consejo a los miembros sobre cómo superar los desafíos específicos que pudiera ir encontrando a lo largo del proyecto.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Al mismo tiempo, este ejecutivo puede aportar su experiencia para ayudar a otras personas de la organización que enfrentan un problema similar.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Este mismo principio puede generalizarse. Por ejemplo, pueden formarse comunidades con personas que poseen </w:t>
      </w:r>
      <w:proofErr w:type="spellStart"/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expertise</w:t>
      </w:r>
      <w:proofErr w:type="spellEnd"/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en industrias específicas o ciertas especialidades funcionales.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Así, su conocimiento combinado y potenciado permite resolver problemas en tiempos más cortos, con menores costos, mejorando la calidad de las decisiones y acelerando la innovación.</w:t>
      </w:r>
    </w:p>
    <w:p w:rsidR="004260E4" w:rsidRDefault="004260E4" w:rsidP="004260E4">
      <w:pPr>
        <w:rPr>
          <w:rStyle w:val="apple-style-span"/>
          <w:rFonts w:ascii="Arial" w:hAnsi="Arial" w:cs="Arial"/>
          <w:color w:val="333333"/>
          <w:sz w:val="24"/>
          <w:szCs w:val="24"/>
        </w:rPr>
      </w:pPr>
    </w:p>
    <w:p w:rsidR="000E419F" w:rsidRDefault="004260E4" w:rsidP="004260E4">
      <w:r>
        <w:rPr>
          <w:rFonts w:ascii="Arial" w:hAnsi="Arial" w:cs="Arial"/>
          <w:b/>
          <w:noProof/>
          <w:color w:val="8064A2" w:themeColor="accent4"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1007745</wp:posOffset>
            </wp:positionV>
            <wp:extent cx="2628900" cy="1971675"/>
            <wp:effectExtent l="19050" t="95250" r="95250" b="285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93366"/>
                      </a:solidFill>
                      <a:prstDash val="sysDot"/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Textoennegrita"/>
          <w:rFonts w:ascii="Arial" w:hAnsi="Arial" w:cs="Arial"/>
          <w:color w:val="333333"/>
          <w:sz w:val="24"/>
          <w:szCs w:val="24"/>
        </w:rPr>
        <w:t>Las comunidades de práctica como herramientas de integración y pertenencia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Además de sus beneficios en términos de difusión de conocimiento organizacional, las comunidades de práctica también pueden ser formidables herramientas de integración del talento a una organización.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En general las personas necesitan y aprecian las relaciones, los amigos y toda una comunidad y ambiente de trabajo que les son gratos. Es un importante aspecto de valoración, de refuerzo de la pertenencia a una empresa.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Precisamente, las comunidades de práctica permiten crear un sentido de </w:t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lastRenderedPageBreak/>
        <w:t>identidad y contención, necesarios para desenvolverse en un mundo complejo y cambiante.</w:t>
      </w:r>
      <w:r w:rsidRPr="00E976D2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En definitiva, para los jóvenes de la</w:t>
      </w:r>
      <w:r w:rsidRPr="00E976D2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hyperlink r:id="rId12" w:history="1">
        <w:r w:rsidRPr="00E976D2">
          <w:rPr>
            <w:rStyle w:val="Hipervnculo"/>
            <w:rFonts w:ascii="Arial" w:hAnsi="Arial" w:cs="Arial"/>
            <w:color w:val="000000"/>
            <w:sz w:val="24"/>
            <w:szCs w:val="24"/>
          </w:rPr>
          <w:t>Generación Y</w:t>
        </w:r>
      </w:hyperlink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, las comunidades virtuales constituyen un modo natural de reunirse en torno a una preocupación común.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A los profesionales más </w:t>
      </w:r>
      <w:proofErr w:type="spellStart"/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senior</w:t>
      </w:r>
      <w:proofErr w:type="spellEnd"/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, tal vez les lleve más tiempo comprender cómo funciona este sistema y sacar provecho de su potencial, resignándose a la falta del "cara a cara" y a la mayor intimidad.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Ante el avance de la globalización y las tecnologías de comunicación es un hecho que, tarde o temprano, todos formaremos parte de alguna comunidad de práctica virtual.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Fonts w:ascii="Arial" w:hAnsi="Arial" w:cs="Arial"/>
          <w:color w:val="333333"/>
          <w:sz w:val="24"/>
          <w:szCs w:val="24"/>
        </w:rPr>
        <w:br/>
      </w:r>
      <w:r w:rsidRPr="00E976D2">
        <w:rPr>
          <w:rStyle w:val="apple-style-span"/>
          <w:rFonts w:ascii="Arial" w:hAnsi="Arial" w:cs="Arial"/>
          <w:color w:val="333333"/>
          <w:sz w:val="24"/>
          <w:szCs w:val="24"/>
        </w:rPr>
        <w:t>Como toda nueva herramienta, requerirá tiempo de acomodamiento y mejora. La posibilidad de extraer todo su potencial estará, en última instancia, en nuestras propias manos.</w:t>
      </w:r>
      <w:r w:rsidRPr="00E976D2">
        <w:rPr>
          <w:rFonts w:ascii="Arial" w:hAnsi="Arial" w:cs="Arial"/>
          <w:color w:val="333333"/>
          <w:sz w:val="24"/>
          <w:szCs w:val="24"/>
        </w:rPr>
        <w:br/>
      </w:r>
    </w:p>
    <w:sectPr w:rsidR="000E419F" w:rsidSect="000E4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260E4"/>
    <w:rsid w:val="000E419F"/>
    <w:rsid w:val="0042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260E4"/>
  </w:style>
  <w:style w:type="character" w:styleId="Textoennegrita">
    <w:name w:val="Strong"/>
    <w:basedOn w:val="Fuentedeprrafopredeter"/>
    <w:uiPriority w:val="22"/>
    <w:qFormat/>
    <w:rsid w:val="004260E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260E4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426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iabiz.com/mbz/empresaysociedad/nota.vsp?nid=306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eriabiz.com/mbz/capitalhumano/nota.vsp?nid=32352" TargetMode="External"/><Relationship Id="rId12" Type="http://schemas.openxmlformats.org/officeDocument/2006/relationships/hyperlink" Target="http://www.materiabiz.com/mbz/capitalhumano/nota.vsp?nid=37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eriabiz.com/mbz/estrategiaymarketing/nota.vsp?nid=37036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hyperlink" Target="http://www.materiabiz.com/mbz/capitalhumano/nota.vsp?nid=2724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ateriabiz.com/mbz/capitalhumano/nota.vsp?nid=329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2011-07-07T01:00:00Z</dcterms:created>
  <dcterms:modified xsi:type="dcterms:W3CDTF">2011-07-07T01:01:00Z</dcterms:modified>
</cp:coreProperties>
</file>