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/>
          <w:bCs/>
          <w:color w:val="613913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613913"/>
          <w:sz w:val="20"/>
          <w:szCs w:val="20"/>
        </w:rPr>
        <w:t>Alteración Microbiana de la Carne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Composición de la microflora de la carne antes de la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conservación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 xml:space="preserve"> en refrigeración: los microorganismos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contaminantes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 xml:space="preserve"> siempre se encuentran en la superficie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de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 xml:space="preserve"> la carne, solo se alojan en la profundidad cuando: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D36543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D36543"/>
          <w:sz w:val="20"/>
          <w:szCs w:val="20"/>
        </w:rPr>
        <w:t xml:space="preserve">• </w:t>
      </w:r>
      <w:r>
        <w:rPr>
          <w:rFonts w:ascii="GEInspira" w:hAnsi="GEInspira" w:cs="GEInspira"/>
          <w:color w:val="D36543"/>
          <w:sz w:val="20"/>
          <w:szCs w:val="20"/>
        </w:rPr>
        <w:t>Procede de un animal enfermo o extenuado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D36543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D36543"/>
          <w:sz w:val="20"/>
          <w:szCs w:val="20"/>
        </w:rPr>
        <w:t xml:space="preserve">• </w:t>
      </w:r>
      <w:r>
        <w:rPr>
          <w:rFonts w:ascii="GEInspira" w:hAnsi="GEInspira" w:cs="GEInspira"/>
          <w:color w:val="D36543"/>
          <w:sz w:val="20"/>
          <w:szCs w:val="20"/>
        </w:rPr>
        <w:t>Manipulación higiénica inadecuada o lesiones (cortes)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D36543"/>
          <w:sz w:val="20"/>
          <w:szCs w:val="20"/>
        </w:rPr>
      </w:pPr>
      <w:proofErr w:type="gramStart"/>
      <w:r>
        <w:rPr>
          <w:rFonts w:ascii="GEInspira" w:hAnsi="GEInspira" w:cs="GEInspira"/>
          <w:color w:val="D36543"/>
          <w:sz w:val="20"/>
          <w:szCs w:val="20"/>
        </w:rPr>
        <w:t>por</w:t>
      </w:r>
      <w:proofErr w:type="gramEnd"/>
      <w:r>
        <w:rPr>
          <w:rFonts w:ascii="GEInspira" w:hAnsi="GEInspira" w:cs="GEInspira"/>
          <w:color w:val="D36543"/>
          <w:sz w:val="20"/>
          <w:szCs w:val="20"/>
        </w:rPr>
        <w:t xml:space="preserve"> los operarios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D36543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D36543"/>
          <w:sz w:val="20"/>
          <w:szCs w:val="20"/>
        </w:rPr>
        <w:t xml:space="preserve">• </w:t>
      </w:r>
      <w:r>
        <w:rPr>
          <w:rFonts w:ascii="GEInspira" w:hAnsi="GEInspira" w:cs="GEInspira"/>
          <w:color w:val="D36543"/>
          <w:sz w:val="20"/>
          <w:szCs w:val="20"/>
        </w:rPr>
        <w:t>Sacrificio inadecuado con refrigeración posterior deficiente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Valores normales para carnes con sacrificio higiénico: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/>
          <w:bCs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entre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 xml:space="preserve"> </w:t>
      </w:r>
      <w:r>
        <w:rPr>
          <w:rFonts w:ascii="GEInspira-Bold" w:hAnsi="GEInspira-Bold" w:cs="GEInspira-Bold"/>
          <w:b/>
          <w:bCs/>
          <w:color w:val="613913"/>
          <w:sz w:val="20"/>
          <w:szCs w:val="20"/>
        </w:rPr>
        <w:t>10</w:t>
      </w:r>
      <w:r>
        <w:rPr>
          <w:rFonts w:ascii="GEInspira-Bold" w:hAnsi="GEInspira-Bold" w:cs="GEInspira-Bold"/>
          <w:b/>
          <w:bCs/>
          <w:color w:val="613913"/>
          <w:sz w:val="12"/>
          <w:szCs w:val="12"/>
        </w:rPr>
        <w:t xml:space="preserve">3 </w:t>
      </w:r>
      <w:r>
        <w:rPr>
          <w:rFonts w:ascii="GEInspira-Bold" w:hAnsi="GEInspira-Bold" w:cs="GEInspira-Bold"/>
          <w:b/>
          <w:bCs/>
          <w:color w:val="613913"/>
          <w:sz w:val="20"/>
          <w:szCs w:val="20"/>
        </w:rPr>
        <w:t xml:space="preserve">a 10 </w:t>
      </w:r>
      <w:r>
        <w:rPr>
          <w:rFonts w:ascii="GEInspira-Bold" w:hAnsi="GEInspira-Bold" w:cs="GEInspira-Bold"/>
          <w:b/>
          <w:bCs/>
          <w:color w:val="613913"/>
          <w:sz w:val="12"/>
          <w:szCs w:val="12"/>
        </w:rPr>
        <w:t xml:space="preserve">4 </w:t>
      </w:r>
      <w:r>
        <w:rPr>
          <w:rFonts w:ascii="GEInspira-Bold" w:hAnsi="GEInspira-Bold" w:cs="GEInspira-Bold"/>
          <w:b/>
          <w:bCs/>
          <w:color w:val="613913"/>
          <w:sz w:val="20"/>
          <w:szCs w:val="20"/>
        </w:rPr>
        <w:t>bacterias/cm2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Valores encontrados en carnes higiénicamente deficientes: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12"/>
          <w:szCs w:val="12"/>
        </w:rPr>
      </w:pPr>
      <w:r>
        <w:rPr>
          <w:rFonts w:ascii="GEInspira" w:hAnsi="GEInspira" w:cs="GEInspira"/>
          <w:color w:val="613913"/>
          <w:sz w:val="20"/>
          <w:szCs w:val="20"/>
        </w:rPr>
        <w:t>10</w:t>
      </w:r>
      <w:r>
        <w:rPr>
          <w:rFonts w:ascii="GEInspira" w:hAnsi="GEInspira" w:cs="GEInspira"/>
          <w:color w:val="613913"/>
          <w:sz w:val="12"/>
          <w:szCs w:val="12"/>
        </w:rPr>
        <w:t xml:space="preserve">5 </w:t>
      </w:r>
      <w:r>
        <w:rPr>
          <w:rFonts w:ascii="GEInspira" w:hAnsi="GEInspira" w:cs="GEInspira"/>
          <w:color w:val="613913"/>
          <w:sz w:val="20"/>
          <w:szCs w:val="20"/>
        </w:rPr>
        <w:t>UFC/cm</w:t>
      </w:r>
      <w:r>
        <w:rPr>
          <w:rFonts w:ascii="GEInspira" w:hAnsi="GEInspira" w:cs="GEInspira"/>
          <w:color w:val="613913"/>
          <w:sz w:val="12"/>
          <w:szCs w:val="12"/>
        </w:rPr>
        <w:t>2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Carnes con signos incipientes de alteración: 10</w:t>
      </w:r>
      <w:r>
        <w:rPr>
          <w:rFonts w:ascii="GEInspira" w:hAnsi="GEInspira" w:cs="GEInspira"/>
          <w:color w:val="613913"/>
          <w:sz w:val="12"/>
          <w:szCs w:val="12"/>
        </w:rPr>
        <w:t xml:space="preserve">7 </w:t>
      </w:r>
      <w:r>
        <w:rPr>
          <w:rFonts w:ascii="GEInspira" w:hAnsi="GEInspira" w:cs="GEInspira"/>
          <w:color w:val="613913"/>
          <w:sz w:val="20"/>
          <w:szCs w:val="20"/>
        </w:rPr>
        <w:t>UFC/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12"/>
          <w:szCs w:val="12"/>
        </w:rPr>
      </w:pPr>
      <w:r>
        <w:rPr>
          <w:rFonts w:ascii="GEInspira" w:hAnsi="GEInspira" w:cs="GEInspira"/>
          <w:color w:val="613913"/>
          <w:sz w:val="20"/>
          <w:szCs w:val="20"/>
        </w:rPr>
        <w:t>cm</w:t>
      </w:r>
      <w:r>
        <w:rPr>
          <w:rFonts w:ascii="GEInspira" w:hAnsi="GEInspira" w:cs="GEInspira"/>
          <w:color w:val="613913"/>
          <w:sz w:val="12"/>
          <w:szCs w:val="12"/>
        </w:rPr>
        <w:t>2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Composición de la flora: se trata siempre de flora psicrótrofa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o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 xml:space="preserve"> psicrófila facultativa, cuya temperatura óptima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de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 xml:space="preserve"> crecimiento se encuentra entre 20 y 30.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Los podemos clasificar: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/>
          <w:bCs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 xml:space="preserve">a. </w:t>
      </w:r>
      <w:r>
        <w:rPr>
          <w:rFonts w:ascii="GEInspira-Bold" w:hAnsi="GEInspira-Bold" w:cs="GEInspira-Bold"/>
          <w:b/>
          <w:bCs/>
          <w:color w:val="613913"/>
          <w:sz w:val="20"/>
          <w:szCs w:val="20"/>
        </w:rPr>
        <w:t>Aeróbicos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Bacilos Gram (-) no esporulados: PSEUDOMONAS ALTERANTES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Cocos o coco-bacilos gram (-): ACHROMOBACTER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/>
          <w:bCs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 xml:space="preserve">b. </w:t>
      </w:r>
      <w:r>
        <w:rPr>
          <w:rFonts w:ascii="GEInspira-Bold" w:hAnsi="GEInspira-Bold" w:cs="GEInspira-Bold"/>
          <w:b/>
          <w:bCs/>
          <w:color w:val="613913"/>
          <w:sz w:val="20"/>
          <w:szCs w:val="20"/>
        </w:rPr>
        <w:t>Microaerófilos o anaeróbicos facultativos: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Bacilos Gram (-) No esporulados: LACTOBACILOS, MICROBACTERIUM,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PSEUDOMONAS SP.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Bacilos esporulados: BACILLUS SP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/>
          <w:bCs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 xml:space="preserve">c. </w:t>
      </w:r>
      <w:r>
        <w:rPr>
          <w:rFonts w:ascii="GEInspira-Bold" w:hAnsi="GEInspira-Bold" w:cs="GEInspira-Bold"/>
          <w:b/>
          <w:bCs/>
          <w:color w:val="613913"/>
          <w:sz w:val="20"/>
          <w:szCs w:val="20"/>
        </w:rPr>
        <w:t>Anaeróbicos estrictos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Bacilos esporulados: CLOSTRIDIUM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Bacilos no esporulados: AEROMONAS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/>
          <w:bCs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 xml:space="preserve">d. </w:t>
      </w:r>
      <w:r>
        <w:rPr>
          <w:rFonts w:ascii="GEInspira-Bold" w:hAnsi="GEInspira-Bold" w:cs="GEInspira-Bold"/>
          <w:b/>
          <w:bCs/>
          <w:color w:val="613913"/>
          <w:sz w:val="20"/>
          <w:szCs w:val="20"/>
        </w:rPr>
        <w:t>Mohos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Crecen en condiciones de menor Aw. Ejemplos: PENICILLIUM,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FUSARIUM, MUCOR, BOTRYTIS.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/>
          <w:bCs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 xml:space="preserve">e. </w:t>
      </w:r>
      <w:r>
        <w:rPr>
          <w:rFonts w:ascii="GEInspira-Bold" w:hAnsi="GEInspira-Bold" w:cs="GEInspira-Bold"/>
          <w:b/>
          <w:bCs/>
          <w:color w:val="613913"/>
          <w:sz w:val="20"/>
          <w:szCs w:val="20"/>
        </w:rPr>
        <w:t>Levaduras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RHODOTORULA, TORULOPSIS, CRYPTOCOCCUS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/>
          <w:bCs/>
          <w:color w:val="795331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795331"/>
          <w:sz w:val="20"/>
          <w:szCs w:val="20"/>
        </w:rPr>
        <w:t>Temperaturas Mínimas de Crecimiento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Para bacterias en general cesa el crecimiento a -3. Unas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pocas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 xml:space="preserve"> crecen a -5 y la mayoría no crece más a -8.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Para hongos la mayoría crece bien a -5. Algunas crecen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a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 xml:space="preserve"> -8 y su crecimiento cesa a -12.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En el caso de las levaduras su temperatura mínima está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entre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 xml:space="preserve"> -4 y -7.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Durante el proceso de descongelamiento a partir de los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-3 se restablecen los mecanismos de alteración de la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carne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>.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r>
        <w:rPr>
          <w:rFonts w:ascii="GEInspira" w:hAnsi="GEInspira" w:cs="GEInspira"/>
          <w:color w:val="613913"/>
          <w:sz w:val="20"/>
          <w:szCs w:val="20"/>
        </w:rPr>
        <w:t>La composición de la flora bacteriana original de la carne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613913"/>
          <w:sz w:val="20"/>
          <w:szCs w:val="20"/>
        </w:rPr>
      </w:pPr>
      <w:proofErr w:type="gramStart"/>
      <w:r>
        <w:rPr>
          <w:rFonts w:ascii="GEInspira" w:hAnsi="GEInspira" w:cs="GEInspira"/>
          <w:color w:val="613913"/>
          <w:sz w:val="20"/>
          <w:szCs w:val="20"/>
        </w:rPr>
        <w:t>varía</w:t>
      </w:r>
      <w:proofErr w:type="gramEnd"/>
      <w:r>
        <w:rPr>
          <w:rFonts w:ascii="GEInspira" w:hAnsi="GEInspira" w:cs="GEInspira"/>
          <w:color w:val="613913"/>
          <w:sz w:val="20"/>
          <w:szCs w:val="20"/>
        </w:rPr>
        <w:t>: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D36543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D36543"/>
          <w:sz w:val="20"/>
          <w:szCs w:val="20"/>
        </w:rPr>
        <w:t xml:space="preserve">• </w:t>
      </w:r>
      <w:r>
        <w:rPr>
          <w:rFonts w:ascii="GEInspira" w:hAnsi="GEInspira" w:cs="GEInspira"/>
          <w:color w:val="D36543"/>
          <w:sz w:val="20"/>
          <w:szCs w:val="20"/>
        </w:rPr>
        <w:t>Con el tiempo de guarda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D36543"/>
          <w:sz w:val="20"/>
          <w:szCs w:val="20"/>
        </w:rPr>
      </w:pPr>
      <w:r>
        <w:rPr>
          <w:rFonts w:ascii="GEInspira-Bold" w:hAnsi="GEInspira-Bold" w:cs="GEInspira-Bold"/>
          <w:b/>
          <w:bCs/>
          <w:color w:val="D36543"/>
          <w:sz w:val="20"/>
          <w:szCs w:val="20"/>
        </w:rPr>
        <w:t xml:space="preserve">• </w:t>
      </w:r>
      <w:r>
        <w:rPr>
          <w:rFonts w:ascii="GEInspira" w:hAnsi="GEInspira" w:cs="GEInspira"/>
          <w:color w:val="D36543"/>
          <w:sz w:val="20"/>
          <w:szCs w:val="20"/>
        </w:rPr>
        <w:t xml:space="preserve">Con las condiciones de conservación </w:t>
      </w:r>
      <w:proofErr w:type="gramStart"/>
      <w:r>
        <w:rPr>
          <w:rFonts w:ascii="GEInspira" w:hAnsi="GEInspira" w:cs="GEInspira"/>
          <w:color w:val="D36543"/>
          <w:sz w:val="20"/>
          <w:szCs w:val="20"/>
        </w:rPr>
        <w:t>( vacio</w:t>
      </w:r>
      <w:proofErr w:type="gramEnd"/>
      <w:r>
        <w:rPr>
          <w:rFonts w:ascii="GEInspira" w:hAnsi="GEInspira" w:cs="GEInspira"/>
          <w:color w:val="D36543"/>
          <w:sz w:val="20"/>
          <w:szCs w:val="20"/>
        </w:rPr>
        <w:t xml:space="preserve"> o atmósfera</w:t>
      </w:r>
    </w:p>
    <w:p w:rsid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color w:val="D36543"/>
          <w:sz w:val="20"/>
          <w:szCs w:val="20"/>
        </w:rPr>
      </w:pPr>
      <w:proofErr w:type="gramStart"/>
      <w:r>
        <w:rPr>
          <w:rFonts w:ascii="GEInspira" w:hAnsi="GEInspira" w:cs="GEInspira"/>
          <w:color w:val="D36543"/>
          <w:sz w:val="20"/>
          <w:szCs w:val="20"/>
        </w:rPr>
        <w:t>modificada</w:t>
      </w:r>
      <w:proofErr w:type="gramEnd"/>
      <w:r>
        <w:rPr>
          <w:rFonts w:ascii="GEInspira" w:hAnsi="GEInspira" w:cs="GEInspira"/>
          <w:color w:val="D36543"/>
          <w:sz w:val="20"/>
          <w:szCs w:val="20"/>
        </w:rPr>
        <w:t>)</w:t>
      </w:r>
    </w:p>
    <w:p w:rsidR="007E75D7" w:rsidRDefault="00624013" w:rsidP="00624013">
      <w:r>
        <w:rPr>
          <w:rFonts w:ascii="GEInspira-Bold" w:hAnsi="GEInspira-Bold" w:cs="GEInspira-Bold"/>
          <w:b/>
          <w:bCs/>
          <w:color w:val="D36543"/>
          <w:sz w:val="20"/>
          <w:szCs w:val="20"/>
        </w:rPr>
        <w:t xml:space="preserve">• </w:t>
      </w:r>
      <w:r>
        <w:rPr>
          <w:rFonts w:ascii="GEInspira" w:hAnsi="GEInspira" w:cs="GEInspira"/>
          <w:color w:val="D36543"/>
          <w:sz w:val="20"/>
          <w:szCs w:val="20"/>
        </w:rPr>
        <w:t>Material de envase</w:t>
      </w:r>
    </w:p>
    <w:sectPr w:rsidR="007E75D7" w:rsidSect="007E75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Inspi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4013"/>
    <w:rsid w:val="00624013"/>
    <w:rsid w:val="007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1632</Characters>
  <Application>Microsoft Office Word</Application>
  <DocSecurity>0</DocSecurity>
  <Lines>13</Lines>
  <Paragraphs>3</Paragraphs>
  <ScaleCrop>false</ScaleCrop>
  <Company> 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2011-08-03T16:28:00Z</dcterms:created>
  <dcterms:modified xsi:type="dcterms:W3CDTF">2011-08-03T16:29:00Z</dcterms:modified>
</cp:coreProperties>
</file>