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charts/chart15.xml" ContentType="application/vnd.openxmlformats-officedocument.drawingml.chart+xml"/>
  <Override PartName="/word/charts/chart16.xml" ContentType="application/vnd.openxmlformats-officedocument.drawingml.chart+xml"/>
  <Override PartName="/word/charts/chart17.xml" ContentType="application/vnd.openxmlformats-officedocument.drawingml.chart+xml"/>
  <Override PartName="/word/charts/chart18.xml" ContentType="application/vnd.openxmlformats-officedocument.drawingml.chart+xml"/>
  <Override PartName="/word/charts/chart19.xml" ContentType="application/vnd.openxmlformats-officedocument.drawingml.chart+xml"/>
  <Override PartName="/word/charts/chart20.xml" ContentType="application/vnd.openxmlformats-officedocument.drawingml.chart+xml"/>
  <Override PartName="/word/charts/chart21.xml" ContentType="application/vnd.openxmlformats-officedocument.drawingml.chart+xml"/>
  <Override PartName="/word/charts/chart22.xml" ContentType="application/vnd.openxmlformats-officedocument.drawingml.chart+xml"/>
  <Override PartName="/word/charts/chart23.xml" ContentType="application/vnd.openxmlformats-officedocument.drawingml.chart+xml"/>
  <Override PartName="/word/charts/chart24.xml" ContentType="application/vnd.openxmlformats-officedocument.drawingml.chart+xml"/>
  <Override PartName="/word/charts/chart25.xml" ContentType="application/vnd.openxmlformats-officedocument.drawingml.chart+xml"/>
  <Override PartName="/word/charts/chart26.xml" ContentType="application/vnd.openxmlformats-officedocument.drawingml.chart+xml"/>
  <Override PartName="/word/charts/chart27.xml" ContentType="application/vnd.openxmlformats-officedocument.drawingml.chart+xml"/>
  <Override PartName="/word/charts/chart28.xml" ContentType="application/vnd.openxmlformats-officedocument.drawingml.chart+xml"/>
  <Override PartName="/word/charts/chart29.xml" ContentType="application/vnd.openxmlformats-officedocument.drawingml.chart+xml"/>
  <Override PartName="/word/charts/chart30.xml" ContentType="application/vnd.openxmlformats-officedocument.drawingml.chart+xml"/>
  <Override PartName="/word/charts/chart31.xml" ContentType="application/vnd.openxmlformats-officedocument.drawingml.chart+xml"/>
  <Override PartName="/word/charts/chart32.xml" ContentType="application/vnd.openxmlformats-officedocument.drawingml.chart+xml"/>
  <Override PartName="/word/charts/chart33.xml" ContentType="application/vnd.openxmlformats-officedocument.drawingml.chart+xml"/>
  <Override PartName="/word/charts/chart34.xml" ContentType="application/vnd.openxmlformats-officedocument.drawingml.chart+xml"/>
  <Override PartName="/word/charts/chart35.xml" ContentType="application/vnd.openxmlformats-officedocument.drawingml.chart+xml"/>
  <Override PartName="/word/charts/chart36.xml" ContentType="application/vnd.openxmlformats-officedocument.drawingml.chart+xml"/>
  <Override PartName="/word/charts/chart37.xml" ContentType="application/vnd.openxmlformats-officedocument.drawingml.chart+xml"/>
  <Override PartName="/word/charts/chart38.xml" ContentType="application/vnd.openxmlformats-officedocument.drawingml.chart+xml"/>
  <Override PartName="/word/charts/chart39.xml" ContentType="application/vnd.openxmlformats-officedocument.drawingml.chart+xml"/>
  <Override PartName="/word/charts/chart40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F09" w:rsidRPr="00002ED9" w:rsidRDefault="00956F09" w:rsidP="00956F09">
      <w:pPr>
        <w:spacing w:after="0"/>
        <w:rPr>
          <w:rFonts w:cstheme="minorHAnsi"/>
          <w:b/>
          <w:noProof/>
        </w:rPr>
      </w:pPr>
      <w:r w:rsidRPr="00002ED9">
        <w:rPr>
          <w:rFonts w:cstheme="minorHAnsi"/>
          <w:b/>
          <w:noProof/>
        </w:rPr>
        <w:t>LINDA VICTORIA ARIZA OTÁLORA</w:t>
      </w:r>
    </w:p>
    <w:p w:rsidR="00956F09" w:rsidRPr="00956F09" w:rsidRDefault="00956F09" w:rsidP="00956F09">
      <w:pPr>
        <w:spacing w:after="0"/>
        <w:rPr>
          <w:rFonts w:cstheme="minorHAnsi"/>
          <w:b/>
          <w:noProof/>
        </w:rPr>
      </w:pPr>
      <w:r w:rsidRPr="00956F09">
        <w:rPr>
          <w:rFonts w:cstheme="minorHAnsi"/>
          <w:b/>
          <w:noProof/>
        </w:rPr>
        <w:t>MARIA ALEJANDRA SÁCHEZ GUTIERREZ</w:t>
      </w:r>
    </w:p>
    <w:p w:rsidR="00DE5DD8" w:rsidRPr="00956F09" w:rsidRDefault="00DE5DD8" w:rsidP="00956F09">
      <w:pPr>
        <w:tabs>
          <w:tab w:val="center" w:pos="5233"/>
          <w:tab w:val="left" w:pos="7335"/>
        </w:tabs>
        <w:jc w:val="center"/>
        <w:rPr>
          <w:rFonts w:cstheme="minorHAnsi"/>
          <w:b/>
        </w:rPr>
      </w:pPr>
      <w:r w:rsidRPr="00956F09">
        <w:rPr>
          <w:rFonts w:cstheme="minorHAnsi"/>
          <w:b/>
        </w:rPr>
        <w:t>Panorama Energético Nacional</w:t>
      </w:r>
    </w:p>
    <w:p w:rsidR="00DE5DD8" w:rsidRPr="00002ED9" w:rsidRDefault="00002ED9" w:rsidP="00002ED9">
      <w:pPr>
        <w:jc w:val="both"/>
        <w:rPr>
          <w:rFonts w:ascii="Tahoma" w:eastAsia="Times New Roman" w:hAnsi="Tahoma" w:cs="Tahoma"/>
          <w:color w:val="808080"/>
          <w:sz w:val="17"/>
          <w:szCs w:val="17"/>
          <w:lang w:val="es-ES" w:eastAsia="es-ES"/>
        </w:rPr>
      </w:pPr>
      <w:r w:rsidRPr="00002ED9">
        <w:rPr>
          <w:rFonts w:cstheme="minorHAnsi"/>
        </w:rPr>
        <w:t>En el año 2009</w:t>
      </w:r>
      <w:r w:rsidR="00DE5DD8" w:rsidRPr="00002ED9">
        <w:rPr>
          <w:rFonts w:cstheme="minorHAnsi"/>
        </w:rPr>
        <w:t xml:space="preserve"> la producción total de energía primaria fue de </w:t>
      </w:r>
      <w:r w:rsidRPr="00002ED9">
        <w:rPr>
          <w:rFonts w:eastAsia="Times New Roman" w:cstheme="minorHAnsi"/>
          <w:b/>
          <w:lang w:val="es-ES" w:eastAsia="es-ES"/>
        </w:rPr>
        <w:t>4.187.924</w:t>
      </w:r>
      <w:r w:rsidRPr="00002ED9">
        <w:rPr>
          <w:rFonts w:eastAsia="Times New Roman" w:cstheme="minorHAnsi"/>
          <w:color w:val="808080"/>
          <w:lang w:val="es-ES" w:eastAsia="es-ES"/>
        </w:rPr>
        <w:t xml:space="preserve"> </w:t>
      </w:r>
      <w:r w:rsidRPr="00002ED9">
        <w:rPr>
          <w:rFonts w:eastAsia="Times New Roman" w:cstheme="minorHAnsi"/>
          <w:b/>
          <w:lang w:val="es-ES" w:eastAsia="es-ES"/>
        </w:rPr>
        <w:t>Tj</w:t>
      </w:r>
      <w:r w:rsidR="00DE5DD8" w:rsidRPr="00002ED9">
        <w:rPr>
          <w:rFonts w:cstheme="minorHAnsi"/>
        </w:rPr>
        <w:t>, con una participación del carbón mineral del  50,8 % seguido del petróleo, el gas natural, la hidroenergía,  la leña, el bagazo y recuperación energética. La hidroenergía y el bagazo consideradas como  fuentes renovables participan con el 6,9% del total de producción con fuentes primarias, como se puede apreciar en la primera gráfica.</w:t>
      </w:r>
    </w:p>
    <w:p w:rsidR="00DE5DD8" w:rsidRPr="00956F09" w:rsidRDefault="00DE5DD8" w:rsidP="00DE5DD8">
      <w:pPr>
        <w:tabs>
          <w:tab w:val="center" w:pos="5233"/>
          <w:tab w:val="left" w:pos="7335"/>
        </w:tabs>
        <w:jc w:val="center"/>
        <w:rPr>
          <w:rFonts w:cstheme="minorHAnsi"/>
        </w:rPr>
      </w:pPr>
      <w:r w:rsidRPr="00956F09">
        <w:rPr>
          <w:rFonts w:cstheme="minorHAnsi"/>
          <w:noProof/>
        </w:rPr>
        <w:drawing>
          <wp:inline distT="0" distB="0" distL="0" distR="0">
            <wp:extent cx="5486400" cy="3200400"/>
            <wp:effectExtent l="19050" t="0" r="19050" b="0"/>
            <wp:docPr id="58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DE5DD8" w:rsidRPr="00002ED9" w:rsidRDefault="00DE5DD8" w:rsidP="00002ED9">
      <w:pPr>
        <w:jc w:val="both"/>
        <w:rPr>
          <w:rFonts w:ascii="Tahoma" w:eastAsia="Times New Roman" w:hAnsi="Tahoma" w:cs="Tahoma"/>
          <w:color w:val="808080"/>
          <w:sz w:val="17"/>
          <w:szCs w:val="17"/>
          <w:lang w:val="es-ES" w:eastAsia="es-ES"/>
        </w:rPr>
      </w:pPr>
      <w:r w:rsidRPr="00956F09">
        <w:rPr>
          <w:rFonts w:cstheme="minorHAnsi"/>
        </w:rPr>
        <w:t>La producci</w:t>
      </w:r>
      <w:r w:rsidR="00002ED9">
        <w:rPr>
          <w:rFonts w:cstheme="minorHAnsi"/>
        </w:rPr>
        <w:t>ón de energía secundaria en 2009</w:t>
      </w:r>
      <w:r w:rsidRPr="00956F09">
        <w:rPr>
          <w:rFonts w:cstheme="minorHAnsi"/>
        </w:rPr>
        <w:t xml:space="preserve">, fue de </w:t>
      </w:r>
      <w:r w:rsidR="00002ED9" w:rsidRPr="00002ED9">
        <w:rPr>
          <w:rFonts w:eastAsia="Times New Roman" w:cstheme="minorHAnsi"/>
          <w:b/>
          <w:lang w:val="es-ES" w:eastAsia="es-ES"/>
        </w:rPr>
        <w:t>823.485</w:t>
      </w:r>
      <w:r w:rsidR="00002ED9">
        <w:rPr>
          <w:rFonts w:cstheme="minorHAnsi"/>
        </w:rPr>
        <w:t xml:space="preserve"> j</w:t>
      </w:r>
      <w:r w:rsidRPr="00956F09">
        <w:rPr>
          <w:rFonts w:cstheme="minorHAnsi"/>
        </w:rPr>
        <w:t>l siendo la energía eléctrica  la principal fuente secundaria con una participación del 23,4%, el Diesel Oíl con una participación del 21,7% y los derivados del petróleo (Diesel Oíl, Gasolina Motor, Fuel Oíl y GLP) con el 57,8%; es decir, la producción de energía primaria y secundaria en Colombia se basa en combustibles fósiles como se ve en la siguiente gráfica.</w:t>
      </w:r>
    </w:p>
    <w:p w:rsidR="00DE5DD8" w:rsidRPr="00956F09" w:rsidRDefault="00DE5DD8" w:rsidP="00DE5DD8">
      <w:pPr>
        <w:tabs>
          <w:tab w:val="center" w:pos="5233"/>
          <w:tab w:val="left" w:pos="7335"/>
        </w:tabs>
        <w:jc w:val="center"/>
        <w:rPr>
          <w:rFonts w:cstheme="minorHAnsi"/>
        </w:rPr>
      </w:pPr>
      <w:r w:rsidRPr="00956F09">
        <w:rPr>
          <w:rFonts w:cstheme="minorHAnsi"/>
          <w:noProof/>
        </w:rPr>
        <w:drawing>
          <wp:inline distT="0" distB="0" distL="0" distR="0">
            <wp:extent cx="5648221" cy="3044651"/>
            <wp:effectExtent l="19050" t="0" r="9629" b="3349"/>
            <wp:docPr id="59" name="Gráfico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DE5DD8" w:rsidRPr="00956F09" w:rsidRDefault="00DE5DD8" w:rsidP="00956F09">
      <w:pPr>
        <w:tabs>
          <w:tab w:val="center" w:pos="5233"/>
          <w:tab w:val="left" w:pos="7335"/>
        </w:tabs>
        <w:rPr>
          <w:rFonts w:cstheme="minorHAnsi"/>
        </w:rPr>
      </w:pPr>
    </w:p>
    <w:p w:rsidR="00DE5DD8" w:rsidRPr="00956F09" w:rsidRDefault="00DE5DD8" w:rsidP="00DE5DD8">
      <w:pPr>
        <w:tabs>
          <w:tab w:val="center" w:pos="5233"/>
          <w:tab w:val="left" w:pos="7335"/>
        </w:tabs>
        <w:jc w:val="both"/>
        <w:rPr>
          <w:rFonts w:cstheme="minorHAnsi"/>
          <w:b/>
        </w:rPr>
      </w:pPr>
      <w:r w:rsidRPr="00956F09">
        <w:rPr>
          <w:rFonts w:cstheme="minorHAnsi"/>
          <w:b/>
        </w:rPr>
        <w:t>Demanda de energía en Colombia</w:t>
      </w:r>
    </w:p>
    <w:p w:rsidR="00DE5DD8" w:rsidRPr="00D22249" w:rsidRDefault="00DE5DD8" w:rsidP="00D22249">
      <w:pPr>
        <w:jc w:val="both"/>
        <w:rPr>
          <w:rFonts w:ascii="Calibri" w:eastAsia="Times New Roman" w:hAnsi="Calibri" w:cs="Calibri"/>
          <w:color w:val="808080"/>
          <w:sz w:val="20"/>
          <w:szCs w:val="20"/>
          <w:lang w:val="es-ES" w:eastAsia="es-ES"/>
        </w:rPr>
      </w:pPr>
      <w:r w:rsidRPr="00956F09">
        <w:rPr>
          <w:rFonts w:cstheme="minorHAnsi"/>
        </w:rPr>
        <w:t>Colombia es un país con gran diversidad  de energéticos, lo cual garantiza la disponibilidad de estos para suplir la demanda interna. El c</w:t>
      </w:r>
      <w:r w:rsidR="00D22249">
        <w:rPr>
          <w:rFonts w:cstheme="minorHAnsi"/>
        </w:rPr>
        <w:t>onsumo de energía en el año 2009 fue de</w:t>
      </w:r>
      <w:r w:rsidR="00D22249" w:rsidRPr="00D22249">
        <w:rPr>
          <w:rFonts w:ascii="Calibri" w:eastAsia="Times New Roman" w:hAnsi="Calibri" w:cs="Calibri"/>
          <w:color w:val="808080"/>
          <w:sz w:val="20"/>
          <w:szCs w:val="20"/>
          <w:lang w:val="es-ES" w:eastAsia="es-ES"/>
        </w:rPr>
        <w:t xml:space="preserve"> </w:t>
      </w:r>
      <w:r w:rsidR="00D22249" w:rsidRPr="00002ED9">
        <w:rPr>
          <w:rFonts w:ascii="Calibri" w:eastAsia="Times New Roman" w:hAnsi="Calibri" w:cs="Calibri"/>
          <w:b/>
          <w:szCs w:val="20"/>
          <w:lang w:val="es-ES" w:eastAsia="es-ES"/>
        </w:rPr>
        <w:t>670.985</w:t>
      </w:r>
      <w:r w:rsidR="00D22249" w:rsidRPr="00002ED9">
        <w:rPr>
          <w:rFonts w:cstheme="minorHAnsi"/>
          <w:sz w:val="24"/>
        </w:rPr>
        <w:t xml:space="preserve"> </w:t>
      </w:r>
      <w:r w:rsidR="00D22249" w:rsidRPr="00002ED9">
        <w:rPr>
          <w:rFonts w:cstheme="minorHAnsi"/>
          <w:b/>
        </w:rPr>
        <w:t>Tjoules</w:t>
      </w:r>
      <w:r w:rsidRPr="00956F09">
        <w:rPr>
          <w:rFonts w:cstheme="minorHAnsi"/>
        </w:rPr>
        <w:t>, Siendo el sector transporte el mayor consumidor de energía, seguido por el sector industrial y residencial.</w:t>
      </w:r>
    </w:p>
    <w:p w:rsidR="00DE5DD8" w:rsidRPr="00956F09" w:rsidRDefault="00DE5DD8" w:rsidP="00DE5DD8">
      <w:pPr>
        <w:tabs>
          <w:tab w:val="center" w:pos="5233"/>
          <w:tab w:val="left" w:pos="7335"/>
        </w:tabs>
        <w:jc w:val="both"/>
        <w:rPr>
          <w:rFonts w:cstheme="minorHAnsi"/>
        </w:rPr>
      </w:pPr>
      <w:r w:rsidRPr="00956F09">
        <w:rPr>
          <w:rFonts w:cstheme="minorHAnsi"/>
        </w:rPr>
        <w:t>E</w:t>
      </w:r>
      <w:r w:rsidR="00002ED9">
        <w:rPr>
          <w:rFonts w:cstheme="minorHAnsi"/>
        </w:rPr>
        <w:t>n el año 2009</w:t>
      </w:r>
      <w:r w:rsidRPr="00956F09">
        <w:rPr>
          <w:rFonts w:cstheme="minorHAnsi"/>
        </w:rPr>
        <w:t>, el sector residencial  presenta una participación de 21,2%. El sector industrial muestra un leve incremento en los últimos años, con una participación de 26,3%. El sector transporte, participa con  más de un tercio de la demanda nacional y participa con 38.3%, como se presenta en el siguiente gráfico.</w:t>
      </w:r>
    </w:p>
    <w:p w:rsidR="00DE5DD8" w:rsidRPr="00956F09" w:rsidRDefault="00DE5DD8" w:rsidP="00DE5DD8">
      <w:pPr>
        <w:tabs>
          <w:tab w:val="center" w:pos="5233"/>
          <w:tab w:val="left" w:pos="7335"/>
        </w:tabs>
        <w:jc w:val="center"/>
        <w:rPr>
          <w:rFonts w:cstheme="minorHAnsi"/>
        </w:rPr>
      </w:pPr>
      <w:r w:rsidRPr="00956F09">
        <w:rPr>
          <w:rFonts w:cstheme="minorHAnsi"/>
          <w:noProof/>
        </w:rPr>
        <w:drawing>
          <wp:inline distT="0" distB="0" distL="0" distR="0">
            <wp:extent cx="5486400" cy="3200400"/>
            <wp:effectExtent l="19050" t="0" r="19050" b="0"/>
            <wp:docPr id="60" name="Gráfico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DE5DD8" w:rsidRPr="00956F09" w:rsidRDefault="00DE5DD8" w:rsidP="00DE5DD8">
      <w:pPr>
        <w:tabs>
          <w:tab w:val="center" w:pos="5233"/>
          <w:tab w:val="left" w:pos="7335"/>
        </w:tabs>
        <w:jc w:val="center"/>
        <w:rPr>
          <w:rFonts w:cstheme="minorHAnsi"/>
        </w:rPr>
      </w:pPr>
    </w:p>
    <w:p w:rsidR="00DE5DD8" w:rsidRPr="00956F09" w:rsidRDefault="00DE5DD8" w:rsidP="00DE5DD8">
      <w:pPr>
        <w:tabs>
          <w:tab w:val="center" w:pos="5233"/>
          <w:tab w:val="left" w:pos="7335"/>
        </w:tabs>
        <w:rPr>
          <w:rFonts w:cstheme="minorHAnsi"/>
          <w:b/>
        </w:rPr>
      </w:pPr>
      <w:r w:rsidRPr="00956F09">
        <w:rPr>
          <w:rFonts w:cstheme="minorHAnsi"/>
          <w:b/>
        </w:rPr>
        <w:t>Fuente</w:t>
      </w:r>
    </w:p>
    <w:p w:rsidR="00DE5DD8" w:rsidRPr="00956F09" w:rsidRDefault="00333988" w:rsidP="00DE5DD8">
      <w:pPr>
        <w:tabs>
          <w:tab w:val="center" w:pos="5233"/>
          <w:tab w:val="left" w:pos="7335"/>
        </w:tabs>
        <w:rPr>
          <w:rFonts w:cstheme="minorHAnsi"/>
        </w:rPr>
      </w:pPr>
      <w:hyperlink r:id="rId9" w:history="1">
        <w:r w:rsidR="00DE5DD8" w:rsidRPr="00956F09">
          <w:rPr>
            <w:rStyle w:val="Hipervnculo"/>
            <w:rFonts w:cstheme="minorHAnsi"/>
          </w:rPr>
          <w:t>http://www.andesco.org.co/site/assets/media/camara/energia/Documentos/Informe_Final_PROURE_Plan_de_accion_2010-2015.pdf</w:t>
        </w:r>
      </w:hyperlink>
    </w:p>
    <w:p w:rsidR="00A03CFC" w:rsidRPr="00956F09" w:rsidRDefault="00A03CFC">
      <w:pPr>
        <w:rPr>
          <w:rFonts w:cstheme="minorHAnsi"/>
          <w:b/>
          <w:noProof/>
        </w:rPr>
      </w:pPr>
    </w:p>
    <w:p w:rsidR="00DE5DD8" w:rsidRPr="00956F09" w:rsidRDefault="00DE5DD8">
      <w:pPr>
        <w:rPr>
          <w:rFonts w:cstheme="minorHAnsi"/>
          <w:b/>
          <w:noProof/>
        </w:rPr>
      </w:pPr>
    </w:p>
    <w:p w:rsidR="00DE5DD8" w:rsidRPr="00956F09" w:rsidRDefault="00DE5DD8">
      <w:pPr>
        <w:rPr>
          <w:rFonts w:cstheme="minorHAnsi"/>
          <w:b/>
          <w:noProof/>
        </w:rPr>
      </w:pPr>
    </w:p>
    <w:p w:rsidR="00DE5DD8" w:rsidRPr="00956F09" w:rsidRDefault="00DE5DD8">
      <w:pPr>
        <w:rPr>
          <w:rFonts w:cstheme="minorHAnsi"/>
          <w:b/>
          <w:noProof/>
        </w:rPr>
      </w:pPr>
    </w:p>
    <w:p w:rsidR="00DE5DD8" w:rsidRPr="00956F09" w:rsidRDefault="00DE5DD8">
      <w:pPr>
        <w:rPr>
          <w:rFonts w:cstheme="minorHAnsi"/>
          <w:b/>
          <w:noProof/>
        </w:rPr>
      </w:pPr>
    </w:p>
    <w:p w:rsidR="00DE5DD8" w:rsidRPr="00956F09" w:rsidRDefault="00DE5DD8">
      <w:pPr>
        <w:rPr>
          <w:rFonts w:cstheme="minorHAnsi"/>
          <w:b/>
          <w:noProof/>
        </w:rPr>
      </w:pPr>
    </w:p>
    <w:p w:rsidR="00DE5DD8" w:rsidRPr="00956F09" w:rsidRDefault="00DE5DD8">
      <w:pPr>
        <w:rPr>
          <w:rFonts w:cstheme="minorHAnsi"/>
          <w:b/>
          <w:noProof/>
        </w:rPr>
      </w:pPr>
    </w:p>
    <w:p w:rsidR="00DE5DD8" w:rsidRPr="00956F09" w:rsidRDefault="00DE5DD8">
      <w:pPr>
        <w:rPr>
          <w:rFonts w:cstheme="minorHAnsi"/>
          <w:b/>
          <w:noProof/>
        </w:rPr>
      </w:pPr>
    </w:p>
    <w:p w:rsidR="00DE5DD8" w:rsidRPr="00956F09" w:rsidRDefault="00DE5DD8" w:rsidP="00DE5DD8">
      <w:pPr>
        <w:pStyle w:val="Prrafodelista"/>
        <w:jc w:val="center"/>
        <w:rPr>
          <w:rFonts w:cstheme="minorHAnsi"/>
          <w:b/>
          <w:noProof/>
        </w:rPr>
      </w:pPr>
      <w:r w:rsidRPr="00956F09">
        <w:rPr>
          <w:rFonts w:cstheme="minorHAnsi"/>
          <w:b/>
          <w:noProof/>
        </w:rPr>
        <w:lastRenderedPageBreak/>
        <w:t>Balance Energético Nacional Sector Industria y Sector Transporte</w:t>
      </w:r>
    </w:p>
    <w:p w:rsidR="00DE5DD8" w:rsidRPr="00956F09" w:rsidRDefault="00DE5DD8" w:rsidP="00DE5DD8">
      <w:pPr>
        <w:pStyle w:val="Prrafodelista"/>
        <w:rPr>
          <w:rFonts w:cstheme="minorHAnsi"/>
          <w:b/>
          <w:noProof/>
        </w:rPr>
      </w:pPr>
    </w:p>
    <w:p w:rsidR="00DE5DD8" w:rsidRPr="00956F09" w:rsidRDefault="00381956" w:rsidP="00DE5DD8">
      <w:pPr>
        <w:pStyle w:val="Prrafodelista"/>
        <w:numPr>
          <w:ilvl w:val="0"/>
          <w:numId w:val="1"/>
        </w:numPr>
        <w:jc w:val="center"/>
        <w:rPr>
          <w:rFonts w:cstheme="minorHAnsi"/>
          <w:b/>
          <w:noProof/>
        </w:rPr>
      </w:pPr>
      <w:r w:rsidRPr="00956F09">
        <w:rPr>
          <w:rFonts w:cstheme="minorHAnsi"/>
          <w:b/>
          <w:noProof/>
        </w:rPr>
        <w:t>INDUSTRIAS</w:t>
      </w:r>
    </w:p>
    <w:p w:rsidR="00381956" w:rsidRPr="00956F09" w:rsidRDefault="00381956" w:rsidP="00DE5DD8">
      <w:pPr>
        <w:pStyle w:val="Prrafodelista"/>
        <w:jc w:val="center"/>
        <w:rPr>
          <w:rFonts w:cstheme="minorHAnsi"/>
          <w:b/>
          <w:noProof/>
        </w:rPr>
      </w:pPr>
    </w:p>
    <w:p w:rsidR="00381956" w:rsidRPr="00956F09" w:rsidRDefault="00381956" w:rsidP="00DE5DD8">
      <w:pPr>
        <w:pStyle w:val="Prrafodelista"/>
        <w:numPr>
          <w:ilvl w:val="0"/>
          <w:numId w:val="3"/>
        </w:numPr>
        <w:jc w:val="center"/>
        <w:rPr>
          <w:rFonts w:cstheme="minorHAnsi"/>
          <w:b/>
          <w:noProof/>
        </w:rPr>
      </w:pPr>
      <w:r w:rsidRPr="00956F09">
        <w:rPr>
          <w:rFonts w:cstheme="minorHAnsi"/>
          <w:b/>
          <w:noProof/>
        </w:rPr>
        <w:t>ENERGIA PRIMARIA</w:t>
      </w:r>
    </w:p>
    <w:p w:rsidR="00DE5DD8" w:rsidRPr="00956F09" w:rsidRDefault="00381956" w:rsidP="00DE5DD8">
      <w:pPr>
        <w:jc w:val="center"/>
        <w:rPr>
          <w:rFonts w:cstheme="minorHAnsi"/>
        </w:rPr>
      </w:pPr>
      <w:r w:rsidRPr="00956F09">
        <w:rPr>
          <w:rFonts w:cstheme="minorHAnsi"/>
          <w:noProof/>
        </w:rPr>
        <w:drawing>
          <wp:inline distT="0" distB="0" distL="0" distR="0">
            <wp:extent cx="5486400" cy="3200400"/>
            <wp:effectExtent l="19050" t="0" r="19050" b="0"/>
            <wp:docPr id="17" name="Gráfico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DE5DD8" w:rsidRPr="00956F09" w:rsidRDefault="00DE5DD8" w:rsidP="00DE5DD8">
      <w:pPr>
        <w:jc w:val="center"/>
        <w:rPr>
          <w:rFonts w:cstheme="minorHAnsi"/>
        </w:rPr>
      </w:pPr>
    </w:p>
    <w:p w:rsidR="00E35679" w:rsidRPr="00956F09" w:rsidRDefault="00E35679" w:rsidP="00DE5DD8">
      <w:pPr>
        <w:jc w:val="center"/>
        <w:rPr>
          <w:rFonts w:cstheme="minorHAnsi"/>
        </w:rPr>
      </w:pPr>
      <w:r w:rsidRPr="00956F09">
        <w:rPr>
          <w:rFonts w:cstheme="minorHAnsi"/>
          <w:noProof/>
        </w:rPr>
        <w:drawing>
          <wp:inline distT="0" distB="0" distL="0" distR="0">
            <wp:extent cx="5486400" cy="3200400"/>
            <wp:effectExtent l="19050" t="0" r="19050" b="0"/>
            <wp:docPr id="16" name="Gráfico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A03CFC" w:rsidRPr="00956F09" w:rsidRDefault="00A03CFC" w:rsidP="00DE5DD8">
      <w:pPr>
        <w:jc w:val="center"/>
        <w:rPr>
          <w:rFonts w:cstheme="minorHAnsi"/>
        </w:rPr>
      </w:pPr>
    </w:p>
    <w:p w:rsidR="00A03CFC" w:rsidRPr="00956F09" w:rsidRDefault="00A03CFC" w:rsidP="00DE5DD8">
      <w:pPr>
        <w:jc w:val="center"/>
        <w:rPr>
          <w:rFonts w:cstheme="minorHAnsi"/>
        </w:rPr>
      </w:pPr>
    </w:p>
    <w:p w:rsidR="00BD0050" w:rsidRPr="00956F09" w:rsidRDefault="00BD0050" w:rsidP="00DE5DD8">
      <w:pPr>
        <w:jc w:val="center"/>
        <w:rPr>
          <w:rFonts w:cstheme="minorHAnsi"/>
        </w:rPr>
      </w:pPr>
    </w:p>
    <w:p w:rsidR="00BD0050" w:rsidRPr="00956F09" w:rsidRDefault="00BD0050" w:rsidP="00DE5DD8">
      <w:pPr>
        <w:jc w:val="center"/>
        <w:rPr>
          <w:rFonts w:cstheme="minorHAnsi"/>
        </w:rPr>
      </w:pPr>
    </w:p>
    <w:p w:rsidR="004320BC" w:rsidRPr="00956F09" w:rsidRDefault="004320BC" w:rsidP="00DE5DD8">
      <w:pPr>
        <w:jc w:val="center"/>
        <w:rPr>
          <w:rFonts w:cstheme="minorHAnsi"/>
        </w:rPr>
      </w:pPr>
      <w:r w:rsidRPr="00956F09">
        <w:rPr>
          <w:rFonts w:cstheme="minorHAnsi"/>
          <w:noProof/>
        </w:rPr>
        <w:drawing>
          <wp:inline distT="0" distB="0" distL="0" distR="0">
            <wp:extent cx="5486400" cy="3200400"/>
            <wp:effectExtent l="19050" t="0" r="19050" b="0"/>
            <wp:docPr id="3" name="Gráfico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A03CFC" w:rsidRPr="00956F09" w:rsidRDefault="00A03CFC" w:rsidP="00DE5DD8">
      <w:pPr>
        <w:jc w:val="center"/>
        <w:rPr>
          <w:rFonts w:cstheme="minorHAnsi"/>
        </w:rPr>
      </w:pPr>
    </w:p>
    <w:p w:rsidR="00A03CFC" w:rsidRPr="00956F09" w:rsidRDefault="00A03CFC" w:rsidP="00DE5DD8">
      <w:pPr>
        <w:jc w:val="center"/>
        <w:rPr>
          <w:rFonts w:cstheme="minorHAnsi"/>
        </w:rPr>
      </w:pPr>
    </w:p>
    <w:p w:rsidR="00A03CFC" w:rsidRPr="00956F09" w:rsidRDefault="00A03CFC" w:rsidP="00DE5DD8">
      <w:pPr>
        <w:jc w:val="center"/>
        <w:rPr>
          <w:rFonts w:cstheme="minorHAnsi"/>
        </w:rPr>
      </w:pPr>
    </w:p>
    <w:p w:rsidR="004320BC" w:rsidRPr="00956F09" w:rsidRDefault="004320BC" w:rsidP="00DE5DD8">
      <w:pPr>
        <w:jc w:val="center"/>
        <w:rPr>
          <w:rFonts w:cstheme="minorHAnsi"/>
        </w:rPr>
      </w:pPr>
      <w:r w:rsidRPr="00956F09">
        <w:rPr>
          <w:rFonts w:cstheme="minorHAnsi"/>
          <w:noProof/>
        </w:rPr>
        <w:drawing>
          <wp:inline distT="0" distB="0" distL="0" distR="0">
            <wp:extent cx="5486400" cy="3200400"/>
            <wp:effectExtent l="19050" t="0" r="19050" b="0"/>
            <wp:docPr id="4" name="Gráfico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A03CFC" w:rsidRPr="00956F09" w:rsidRDefault="00A03CFC" w:rsidP="00DE5DD8">
      <w:pPr>
        <w:jc w:val="center"/>
        <w:rPr>
          <w:rFonts w:cstheme="minorHAnsi"/>
        </w:rPr>
      </w:pPr>
    </w:p>
    <w:p w:rsidR="00A03CFC" w:rsidRPr="00956F09" w:rsidRDefault="00A03CFC" w:rsidP="00DE5DD8">
      <w:pPr>
        <w:jc w:val="center"/>
        <w:rPr>
          <w:rFonts w:cstheme="minorHAnsi"/>
        </w:rPr>
      </w:pPr>
    </w:p>
    <w:p w:rsidR="00BD0050" w:rsidRPr="00956F09" w:rsidRDefault="00BD0050" w:rsidP="00DE5DD8">
      <w:pPr>
        <w:jc w:val="center"/>
        <w:rPr>
          <w:rFonts w:cstheme="minorHAnsi"/>
        </w:rPr>
      </w:pPr>
    </w:p>
    <w:p w:rsidR="00BD0050" w:rsidRPr="00956F09" w:rsidRDefault="00BD0050" w:rsidP="00DE5DD8">
      <w:pPr>
        <w:jc w:val="center"/>
        <w:rPr>
          <w:rFonts w:cstheme="minorHAnsi"/>
        </w:rPr>
      </w:pPr>
    </w:p>
    <w:p w:rsidR="00BD0050" w:rsidRPr="00956F09" w:rsidRDefault="00BD0050" w:rsidP="00DE5DD8">
      <w:pPr>
        <w:jc w:val="center"/>
        <w:rPr>
          <w:rFonts w:cstheme="minorHAnsi"/>
        </w:rPr>
      </w:pPr>
    </w:p>
    <w:p w:rsidR="004320BC" w:rsidRPr="00956F09" w:rsidRDefault="004320BC" w:rsidP="00DE5DD8">
      <w:pPr>
        <w:jc w:val="center"/>
        <w:rPr>
          <w:rFonts w:cstheme="minorHAnsi"/>
        </w:rPr>
      </w:pPr>
      <w:r w:rsidRPr="00956F09">
        <w:rPr>
          <w:rFonts w:cstheme="minorHAnsi"/>
          <w:noProof/>
        </w:rPr>
        <w:drawing>
          <wp:inline distT="0" distB="0" distL="0" distR="0">
            <wp:extent cx="5486400" cy="3200400"/>
            <wp:effectExtent l="19050" t="0" r="19050" b="0"/>
            <wp:docPr id="5" name="Gráfico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A03CFC" w:rsidRPr="00956F09" w:rsidRDefault="00A03CFC" w:rsidP="00DE5DD8">
      <w:pPr>
        <w:jc w:val="center"/>
        <w:rPr>
          <w:rFonts w:cstheme="minorHAnsi"/>
        </w:rPr>
      </w:pPr>
    </w:p>
    <w:p w:rsidR="00A03CFC" w:rsidRPr="00956F09" w:rsidRDefault="00A03CFC" w:rsidP="00DE5DD8">
      <w:pPr>
        <w:jc w:val="center"/>
        <w:rPr>
          <w:rFonts w:cstheme="minorHAnsi"/>
        </w:rPr>
      </w:pPr>
    </w:p>
    <w:p w:rsidR="00A03CFC" w:rsidRPr="00956F09" w:rsidRDefault="00A03CFC" w:rsidP="00DE5DD8">
      <w:pPr>
        <w:jc w:val="center"/>
        <w:rPr>
          <w:rFonts w:cstheme="minorHAnsi"/>
        </w:rPr>
      </w:pPr>
    </w:p>
    <w:p w:rsidR="004320BC" w:rsidRPr="00956F09" w:rsidRDefault="004320BC" w:rsidP="00DE5DD8">
      <w:pPr>
        <w:jc w:val="center"/>
        <w:rPr>
          <w:rFonts w:cstheme="minorHAnsi"/>
        </w:rPr>
      </w:pPr>
      <w:r w:rsidRPr="00956F09">
        <w:rPr>
          <w:rFonts w:cstheme="minorHAnsi"/>
          <w:noProof/>
        </w:rPr>
        <w:drawing>
          <wp:inline distT="0" distB="0" distL="0" distR="0">
            <wp:extent cx="5486400" cy="3200400"/>
            <wp:effectExtent l="19050" t="0" r="19050" b="0"/>
            <wp:docPr id="6" name="Gráfico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A03CFC" w:rsidRPr="00956F09" w:rsidRDefault="00A03CFC" w:rsidP="00DE5DD8">
      <w:pPr>
        <w:jc w:val="center"/>
        <w:rPr>
          <w:rFonts w:cstheme="minorHAnsi"/>
        </w:rPr>
      </w:pPr>
    </w:p>
    <w:p w:rsidR="00A03CFC" w:rsidRPr="00956F09" w:rsidRDefault="00A03CFC" w:rsidP="00DE5DD8">
      <w:pPr>
        <w:jc w:val="center"/>
        <w:rPr>
          <w:rFonts w:cstheme="minorHAnsi"/>
        </w:rPr>
      </w:pPr>
    </w:p>
    <w:p w:rsidR="00BD0050" w:rsidRPr="00956F09" w:rsidRDefault="00BD0050" w:rsidP="00DE5DD8">
      <w:pPr>
        <w:jc w:val="center"/>
        <w:rPr>
          <w:rFonts w:cstheme="minorHAnsi"/>
        </w:rPr>
      </w:pPr>
    </w:p>
    <w:p w:rsidR="00BD0050" w:rsidRPr="00956F09" w:rsidRDefault="00BD0050" w:rsidP="00DE5DD8">
      <w:pPr>
        <w:jc w:val="center"/>
        <w:rPr>
          <w:rFonts w:cstheme="minorHAnsi"/>
        </w:rPr>
      </w:pPr>
    </w:p>
    <w:p w:rsidR="00BD0050" w:rsidRPr="00956F09" w:rsidRDefault="00BD0050" w:rsidP="00DE5DD8">
      <w:pPr>
        <w:jc w:val="center"/>
        <w:rPr>
          <w:rFonts w:cstheme="minorHAnsi"/>
        </w:rPr>
      </w:pPr>
    </w:p>
    <w:p w:rsidR="004320BC" w:rsidRPr="00956F09" w:rsidRDefault="004320BC" w:rsidP="00DE5DD8">
      <w:pPr>
        <w:jc w:val="center"/>
        <w:rPr>
          <w:rFonts w:cstheme="minorHAnsi"/>
        </w:rPr>
      </w:pPr>
      <w:r w:rsidRPr="00956F09">
        <w:rPr>
          <w:rFonts w:cstheme="minorHAnsi"/>
          <w:noProof/>
        </w:rPr>
        <w:drawing>
          <wp:inline distT="0" distB="0" distL="0" distR="0">
            <wp:extent cx="5486400" cy="3200400"/>
            <wp:effectExtent l="19050" t="0" r="19050" b="0"/>
            <wp:docPr id="7" name="Gráfico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A03CFC" w:rsidRPr="00956F09" w:rsidRDefault="00A03CFC" w:rsidP="00DE5DD8">
      <w:pPr>
        <w:jc w:val="center"/>
        <w:rPr>
          <w:rFonts w:cstheme="minorHAnsi"/>
        </w:rPr>
      </w:pPr>
    </w:p>
    <w:p w:rsidR="00A03CFC" w:rsidRPr="00956F09" w:rsidRDefault="00A03CFC" w:rsidP="00DE5DD8">
      <w:pPr>
        <w:jc w:val="center"/>
        <w:rPr>
          <w:rFonts w:cstheme="minorHAnsi"/>
        </w:rPr>
      </w:pPr>
    </w:p>
    <w:p w:rsidR="00A03CFC" w:rsidRPr="00956F09" w:rsidRDefault="00A03CFC" w:rsidP="00DE5DD8">
      <w:pPr>
        <w:jc w:val="center"/>
        <w:rPr>
          <w:rFonts w:cstheme="minorHAnsi"/>
        </w:rPr>
      </w:pPr>
    </w:p>
    <w:p w:rsidR="004320BC" w:rsidRPr="00956F09" w:rsidRDefault="004320BC" w:rsidP="00DE5DD8">
      <w:pPr>
        <w:jc w:val="center"/>
        <w:rPr>
          <w:rFonts w:cstheme="minorHAnsi"/>
        </w:rPr>
      </w:pPr>
      <w:r w:rsidRPr="00956F09">
        <w:rPr>
          <w:rFonts w:cstheme="minorHAnsi"/>
          <w:noProof/>
        </w:rPr>
        <w:drawing>
          <wp:inline distT="0" distB="0" distL="0" distR="0">
            <wp:extent cx="5486400" cy="3200400"/>
            <wp:effectExtent l="19050" t="0" r="19050" b="0"/>
            <wp:docPr id="8" name="Gráfico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A03CFC" w:rsidRPr="00956F09" w:rsidRDefault="00A03CFC" w:rsidP="00DE5DD8">
      <w:pPr>
        <w:jc w:val="center"/>
        <w:rPr>
          <w:rFonts w:cstheme="minorHAnsi"/>
        </w:rPr>
      </w:pPr>
    </w:p>
    <w:p w:rsidR="00A03CFC" w:rsidRPr="00956F09" w:rsidRDefault="00A03CFC" w:rsidP="00DE5DD8">
      <w:pPr>
        <w:jc w:val="center"/>
        <w:rPr>
          <w:rFonts w:cstheme="minorHAnsi"/>
        </w:rPr>
      </w:pPr>
    </w:p>
    <w:p w:rsidR="00BD0050" w:rsidRPr="00956F09" w:rsidRDefault="00BD0050" w:rsidP="00DE5DD8">
      <w:pPr>
        <w:jc w:val="center"/>
        <w:rPr>
          <w:rFonts w:cstheme="minorHAnsi"/>
        </w:rPr>
      </w:pPr>
    </w:p>
    <w:p w:rsidR="00BD0050" w:rsidRPr="00956F09" w:rsidRDefault="00BD0050" w:rsidP="00DE5DD8">
      <w:pPr>
        <w:jc w:val="center"/>
        <w:rPr>
          <w:rFonts w:cstheme="minorHAnsi"/>
        </w:rPr>
      </w:pPr>
    </w:p>
    <w:p w:rsidR="00BD0050" w:rsidRPr="00956F09" w:rsidRDefault="00BD0050" w:rsidP="00DE5DD8">
      <w:pPr>
        <w:jc w:val="center"/>
        <w:rPr>
          <w:rFonts w:cstheme="minorHAnsi"/>
        </w:rPr>
      </w:pPr>
    </w:p>
    <w:p w:rsidR="004320BC" w:rsidRPr="00956F09" w:rsidRDefault="004320BC" w:rsidP="00DE5DD8">
      <w:pPr>
        <w:jc w:val="center"/>
        <w:rPr>
          <w:rFonts w:cstheme="minorHAnsi"/>
        </w:rPr>
      </w:pPr>
      <w:r w:rsidRPr="00956F09">
        <w:rPr>
          <w:rFonts w:cstheme="minorHAnsi"/>
          <w:noProof/>
        </w:rPr>
        <w:drawing>
          <wp:inline distT="0" distB="0" distL="0" distR="0">
            <wp:extent cx="5486400" cy="3200400"/>
            <wp:effectExtent l="19050" t="0" r="19050" b="0"/>
            <wp:docPr id="9" name="Gráfico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A03CFC" w:rsidRPr="00956F09" w:rsidRDefault="00A03CFC" w:rsidP="00DE5DD8">
      <w:pPr>
        <w:jc w:val="center"/>
        <w:rPr>
          <w:rFonts w:cstheme="minorHAnsi"/>
        </w:rPr>
      </w:pPr>
    </w:p>
    <w:p w:rsidR="00A03CFC" w:rsidRPr="00956F09" w:rsidRDefault="00A03CFC" w:rsidP="00DE5DD8">
      <w:pPr>
        <w:jc w:val="center"/>
        <w:rPr>
          <w:rFonts w:cstheme="minorHAnsi"/>
        </w:rPr>
      </w:pPr>
    </w:p>
    <w:p w:rsidR="00A03CFC" w:rsidRPr="00956F09" w:rsidRDefault="00A03CFC" w:rsidP="00DE5DD8">
      <w:pPr>
        <w:jc w:val="center"/>
        <w:rPr>
          <w:rFonts w:cstheme="minorHAnsi"/>
        </w:rPr>
      </w:pPr>
    </w:p>
    <w:p w:rsidR="00E35679" w:rsidRPr="00956F09" w:rsidRDefault="00E35679" w:rsidP="00DE5DD8">
      <w:pPr>
        <w:jc w:val="center"/>
        <w:rPr>
          <w:rFonts w:cstheme="minorHAnsi"/>
        </w:rPr>
      </w:pPr>
      <w:r w:rsidRPr="00956F09">
        <w:rPr>
          <w:rFonts w:cstheme="minorHAnsi"/>
          <w:noProof/>
        </w:rPr>
        <w:drawing>
          <wp:inline distT="0" distB="0" distL="0" distR="0">
            <wp:extent cx="5486400" cy="3200400"/>
            <wp:effectExtent l="19050" t="0" r="19050" b="0"/>
            <wp:docPr id="10" name="Gráfico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BD0050" w:rsidRPr="00956F09" w:rsidRDefault="00BD0050" w:rsidP="00DE5DD8">
      <w:pPr>
        <w:jc w:val="center"/>
        <w:rPr>
          <w:rFonts w:cstheme="minorHAnsi"/>
        </w:rPr>
      </w:pPr>
    </w:p>
    <w:p w:rsidR="00BD0050" w:rsidRPr="00956F09" w:rsidRDefault="00BD0050" w:rsidP="00DE5DD8">
      <w:pPr>
        <w:jc w:val="center"/>
        <w:rPr>
          <w:rFonts w:cstheme="minorHAnsi"/>
        </w:rPr>
      </w:pPr>
    </w:p>
    <w:p w:rsidR="00BD0050" w:rsidRPr="00956F09" w:rsidRDefault="00BD0050" w:rsidP="00DE5DD8">
      <w:pPr>
        <w:jc w:val="center"/>
        <w:rPr>
          <w:rFonts w:cstheme="minorHAnsi"/>
        </w:rPr>
      </w:pPr>
    </w:p>
    <w:p w:rsidR="00DE5DD8" w:rsidRPr="00956F09" w:rsidRDefault="00DE5DD8" w:rsidP="00DE5DD8">
      <w:pPr>
        <w:jc w:val="center"/>
        <w:rPr>
          <w:rFonts w:cstheme="minorHAnsi"/>
        </w:rPr>
      </w:pPr>
    </w:p>
    <w:p w:rsidR="00DE5DD8" w:rsidRPr="00956F09" w:rsidRDefault="00DE5DD8" w:rsidP="00DE5DD8">
      <w:pPr>
        <w:jc w:val="center"/>
        <w:rPr>
          <w:rFonts w:cstheme="minorHAnsi"/>
        </w:rPr>
      </w:pPr>
    </w:p>
    <w:p w:rsidR="00E35679" w:rsidRPr="00956F09" w:rsidRDefault="00E35679" w:rsidP="00DE5DD8">
      <w:pPr>
        <w:jc w:val="center"/>
        <w:rPr>
          <w:rFonts w:cstheme="minorHAnsi"/>
        </w:rPr>
      </w:pPr>
      <w:r w:rsidRPr="00956F09">
        <w:rPr>
          <w:rFonts w:cstheme="minorHAnsi"/>
          <w:noProof/>
        </w:rPr>
        <w:drawing>
          <wp:inline distT="0" distB="0" distL="0" distR="0">
            <wp:extent cx="5486400" cy="3200400"/>
            <wp:effectExtent l="19050" t="0" r="19050" b="0"/>
            <wp:docPr id="11" name="Gráfico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E35679" w:rsidRPr="00956F09" w:rsidRDefault="00E35679" w:rsidP="00DE5DD8">
      <w:pPr>
        <w:jc w:val="center"/>
        <w:rPr>
          <w:rFonts w:cstheme="minorHAnsi"/>
        </w:rPr>
      </w:pPr>
    </w:p>
    <w:p w:rsidR="00DE5DD8" w:rsidRPr="00956F09" w:rsidRDefault="00DE5DD8" w:rsidP="00DE5DD8">
      <w:pPr>
        <w:jc w:val="center"/>
        <w:rPr>
          <w:rFonts w:cstheme="minorHAnsi"/>
        </w:rPr>
      </w:pPr>
    </w:p>
    <w:p w:rsidR="00DE5DD8" w:rsidRPr="00956F09" w:rsidRDefault="00DE5DD8" w:rsidP="00DE5DD8">
      <w:pPr>
        <w:jc w:val="center"/>
        <w:rPr>
          <w:rFonts w:cstheme="minorHAnsi"/>
        </w:rPr>
      </w:pPr>
    </w:p>
    <w:p w:rsidR="00E35679" w:rsidRPr="00956F09" w:rsidRDefault="00E35679" w:rsidP="00DE5DD8">
      <w:pPr>
        <w:jc w:val="center"/>
        <w:rPr>
          <w:rFonts w:cstheme="minorHAnsi"/>
        </w:rPr>
      </w:pPr>
      <w:r w:rsidRPr="00956F09">
        <w:rPr>
          <w:rFonts w:cstheme="minorHAnsi"/>
          <w:noProof/>
        </w:rPr>
        <w:drawing>
          <wp:inline distT="0" distB="0" distL="0" distR="0">
            <wp:extent cx="5486400" cy="3200400"/>
            <wp:effectExtent l="19050" t="0" r="19050" b="0"/>
            <wp:docPr id="12" name="Gráfico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E35679" w:rsidRPr="00956F09" w:rsidRDefault="00E35679" w:rsidP="00DE5DD8">
      <w:pPr>
        <w:jc w:val="center"/>
        <w:rPr>
          <w:rFonts w:cstheme="minorHAnsi"/>
        </w:rPr>
      </w:pPr>
    </w:p>
    <w:p w:rsidR="00BD0050" w:rsidRPr="00956F09" w:rsidRDefault="00BD0050" w:rsidP="00DE5DD8">
      <w:pPr>
        <w:jc w:val="center"/>
        <w:rPr>
          <w:rFonts w:cstheme="minorHAnsi"/>
        </w:rPr>
      </w:pPr>
    </w:p>
    <w:p w:rsidR="00381956" w:rsidRPr="00956F09" w:rsidRDefault="00381956" w:rsidP="00DE5DD8">
      <w:pPr>
        <w:jc w:val="center"/>
        <w:rPr>
          <w:rFonts w:cstheme="minorHAnsi"/>
        </w:rPr>
      </w:pPr>
    </w:p>
    <w:p w:rsidR="00381956" w:rsidRPr="00956F09" w:rsidRDefault="00381956" w:rsidP="00DE5DD8">
      <w:pPr>
        <w:pStyle w:val="Prrafodelista"/>
        <w:numPr>
          <w:ilvl w:val="0"/>
          <w:numId w:val="3"/>
        </w:numPr>
        <w:jc w:val="center"/>
        <w:rPr>
          <w:rFonts w:cstheme="minorHAnsi"/>
          <w:b/>
        </w:rPr>
      </w:pPr>
      <w:r w:rsidRPr="00956F09">
        <w:rPr>
          <w:rFonts w:cstheme="minorHAnsi"/>
          <w:b/>
        </w:rPr>
        <w:lastRenderedPageBreak/>
        <w:t>ENERGÍA SECUNDARIA</w:t>
      </w:r>
    </w:p>
    <w:p w:rsidR="00381956" w:rsidRPr="00956F09" w:rsidRDefault="00381956" w:rsidP="00DE5DD8">
      <w:pPr>
        <w:jc w:val="center"/>
        <w:rPr>
          <w:rFonts w:cstheme="minorHAnsi"/>
        </w:rPr>
      </w:pPr>
      <w:r w:rsidRPr="00956F09">
        <w:rPr>
          <w:rFonts w:cstheme="minorHAnsi"/>
          <w:noProof/>
        </w:rPr>
        <w:drawing>
          <wp:inline distT="0" distB="0" distL="0" distR="0">
            <wp:extent cx="5534025" cy="3990975"/>
            <wp:effectExtent l="19050" t="0" r="9525" b="0"/>
            <wp:docPr id="29" name="Gráfico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381956" w:rsidRPr="00956F09" w:rsidRDefault="00381956" w:rsidP="00DE5DD8">
      <w:pPr>
        <w:jc w:val="center"/>
        <w:rPr>
          <w:rFonts w:cstheme="minorHAnsi"/>
        </w:rPr>
      </w:pPr>
      <w:r w:rsidRPr="00956F09">
        <w:rPr>
          <w:rFonts w:cstheme="minorHAnsi"/>
          <w:noProof/>
        </w:rPr>
        <w:drawing>
          <wp:inline distT="0" distB="0" distL="0" distR="0">
            <wp:extent cx="5534025" cy="3676650"/>
            <wp:effectExtent l="19050" t="0" r="9525" b="0"/>
            <wp:docPr id="30" name="Gráfico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:rsidR="00BD0050" w:rsidRPr="00956F09" w:rsidRDefault="00BD0050" w:rsidP="00DE5DD8">
      <w:pPr>
        <w:jc w:val="center"/>
        <w:rPr>
          <w:rFonts w:cstheme="minorHAnsi"/>
        </w:rPr>
      </w:pPr>
    </w:p>
    <w:p w:rsidR="00BD0050" w:rsidRPr="00956F09" w:rsidRDefault="00BD0050" w:rsidP="00DE5DD8">
      <w:pPr>
        <w:jc w:val="center"/>
        <w:rPr>
          <w:rFonts w:cstheme="minorHAnsi"/>
        </w:rPr>
      </w:pPr>
    </w:p>
    <w:p w:rsidR="00BD0050" w:rsidRPr="00956F09" w:rsidRDefault="00BD0050" w:rsidP="00DE5DD8">
      <w:pPr>
        <w:jc w:val="center"/>
        <w:rPr>
          <w:rFonts w:cstheme="minorHAnsi"/>
        </w:rPr>
      </w:pPr>
    </w:p>
    <w:p w:rsidR="00BD0050" w:rsidRPr="00956F09" w:rsidRDefault="00BD0050" w:rsidP="00DE5DD8">
      <w:pPr>
        <w:jc w:val="center"/>
        <w:rPr>
          <w:rFonts w:cstheme="minorHAnsi"/>
        </w:rPr>
      </w:pPr>
    </w:p>
    <w:p w:rsidR="00381956" w:rsidRPr="00956F09" w:rsidRDefault="00381956" w:rsidP="00DE5DD8">
      <w:pPr>
        <w:jc w:val="center"/>
        <w:rPr>
          <w:rFonts w:cstheme="minorHAnsi"/>
        </w:rPr>
      </w:pPr>
      <w:r w:rsidRPr="00956F09">
        <w:rPr>
          <w:rFonts w:cstheme="minorHAnsi"/>
          <w:noProof/>
        </w:rPr>
        <w:drawing>
          <wp:inline distT="0" distB="0" distL="0" distR="0">
            <wp:extent cx="5486400" cy="3714750"/>
            <wp:effectExtent l="19050" t="0" r="19050" b="0"/>
            <wp:docPr id="31" name="Gráfico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:rsidR="00BD0050" w:rsidRPr="00956F09" w:rsidRDefault="00BD0050" w:rsidP="00DE5DD8">
      <w:pPr>
        <w:jc w:val="center"/>
        <w:rPr>
          <w:rFonts w:cstheme="minorHAnsi"/>
        </w:rPr>
      </w:pPr>
    </w:p>
    <w:p w:rsidR="00381956" w:rsidRPr="00956F09" w:rsidRDefault="00381956" w:rsidP="00DE5DD8">
      <w:pPr>
        <w:jc w:val="center"/>
        <w:rPr>
          <w:rFonts w:cstheme="minorHAnsi"/>
        </w:rPr>
      </w:pPr>
      <w:r w:rsidRPr="00956F09">
        <w:rPr>
          <w:rFonts w:cstheme="minorHAnsi"/>
          <w:noProof/>
        </w:rPr>
        <w:drawing>
          <wp:inline distT="0" distB="0" distL="0" distR="0">
            <wp:extent cx="5429250" cy="3752850"/>
            <wp:effectExtent l="19050" t="0" r="19050" b="0"/>
            <wp:docPr id="32" name="Gráfico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:rsidR="00BD0050" w:rsidRPr="00956F09" w:rsidRDefault="00BD0050" w:rsidP="00DE5DD8">
      <w:pPr>
        <w:jc w:val="center"/>
        <w:rPr>
          <w:rFonts w:cstheme="minorHAnsi"/>
        </w:rPr>
      </w:pPr>
    </w:p>
    <w:p w:rsidR="00BD0050" w:rsidRPr="00956F09" w:rsidRDefault="00BD0050" w:rsidP="00DE5DD8">
      <w:pPr>
        <w:jc w:val="center"/>
        <w:rPr>
          <w:rFonts w:cstheme="minorHAnsi"/>
        </w:rPr>
      </w:pPr>
    </w:p>
    <w:p w:rsidR="00BD0050" w:rsidRPr="00956F09" w:rsidRDefault="00BD0050" w:rsidP="00DE5DD8">
      <w:pPr>
        <w:jc w:val="center"/>
        <w:rPr>
          <w:rFonts w:cstheme="minorHAnsi"/>
        </w:rPr>
      </w:pPr>
    </w:p>
    <w:p w:rsidR="00381956" w:rsidRPr="00956F09" w:rsidRDefault="00381956" w:rsidP="00DE5DD8">
      <w:pPr>
        <w:jc w:val="center"/>
        <w:rPr>
          <w:rFonts w:cstheme="minorHAnsi"/>
        </w:rPr>
      </w:pPr>
      <w:r w:rsidRPr="00956F09">
        <w:rPr>
          <w:rFonts w:cstheme="minorHAnsi"/>
          <w:noProof/>
        </w:rPr>
        <w:drawing>
          <wp:inline distT="0" distB="0" distL="0" distR="0">
            <wp:extent cx="5486400" cy="3895725"/>
            <wp:effectExtent l="19050" t="0" r="19050" b="0"/>
            <wp:docPr id="33" name="Gráfico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</w:p>
    <w:p w:rsidR="00BD0050" w:rsidRPr="00956F09" w:rsidRDefault="00BD0050" w:rsidP="00DE5DD8">
      <w:pPr>
        <w:jc w:val="center"/>
        <w:rPr>
          <w:rFonts w:cstheme="minorHAnsi"/>
        </w:rPr>
      </w:pPr>
    </w:p>
    <w:p w:rsidR="00381956" w:rsidRPr="00956F09" w:rsidRDefault="00381956" w:rsidP="00DE5DD8">
      <w:pPr>
        <w:jc w:val="center"/>
        <w:rPr>
          <w:rFonts w:cstheme="minorHAnsi"/>
        </w:rPr>
      </w:pPr>
      <w:r w:rsidRPr="00956F09">
        <w:rPr>
          <w:rFonts w:cstheme="minorHAnsi"/>
          <w:noProof/>
        </w:rPr>
        <w:drawing>
          <wp:inline distT="0" distB="0" distL="0" distR="0">
            <wp:extent cx="5486400" cy="3695700"/>
            <wp:effectExtent l="19050" t="0" r="19050" b="0"/>
            <wp:docPr id="34" name="Gráfico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</wp:inline>
        </w:drawing>
      </w:r>
    </w:p>
    <w:p w:rsidR="00BD0050" w:rsidRPr="00956F09" w:rsidRDefault="00BD0050" w:rsidP="00DE5DD8">
      <w:pPr>
        <w:jc w:val="center"/>
        <w:rPr>
          <w:rFonts w:cstheme="minorHAnsi"/>
        </w:rPr>
      </w:pPr>
    </w:p>
    <w:p w:rsidR="00BD0050" w:rsidRPr="00956F09" w:rsidRDefault="00BD0050" w:rsidP="00DE5DD8">
      <w:pPr>
        <w:jc w:val="center"/>
        <w:rPr>
          <w:rFonts w:cstheme="minorHAnsi"/>
        </w:rPr>
      </w:pPr>
    </w:p>
    <w:p w:rsidR="00BD0050" w:rsidRPr="00956F09" w:rsidRDefault="00BD0050" w:rsidP="00DE5DD8">
      <w:pPr>
        <w:jc w:val="center"/>
        <w:rPr>
          <w:rFonts w:cstheme="minorHAnsi"/>
        </w:rPr>
      </w:pPr>
    </w:p>
    <w:p w:rsidR="00381956" w:rsidRPr="00956F09" w:rsidRDefault="00381956" w:rsidP="00DE5DD8">
      <w:pPr>
        <w:jc w:val="center"/>
        <w:rPr>
          <w:rFonts w:cstheme="minorHAnsi"/>
        </w:rPr>
      </w:pPr>
      <w:r w:rsidRPr="00956F09">
        <w:rPr>
          <w:rFonts w:cstheme="minorHAnsi"/>
          <w:noProof/>
        </w:rPr>
        <w:drawing>
          <wp:inline distT="0" distB="0" distL="0" distR="0">
            <wp:extent cx="5534025" cy="3829050"/>
            <wp:effectExtent l="19050" t="0" r="9525" b="0"/>
            <wp:docPr id="35" name="Gráfico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8"/>
              </a:graphicData>
            </a:graphic>
          </wp:inline>
        </w:drawing>
      </w:r>
    </w:p>
    <w:p w:rsidR="00BD0050" w:rsidRPr="00956F09" w:rsidRDefault="00BD0050" w:rsidP="00DE5DD8">
      <w:pPr>
        <w:jc w:val="center"/>
        <w:rPr>
          <w:rFonts w:cstheme="minorHAnsi"/>
        </w:rPr>
      </w:pPr>
    </w:p>
    <w:p w:rsidR="00381956" w:rsidRPr="00956F09" w:rsidRDefault="00381956" w:rsidP="00DE5DD8">
      <w:pPr>
        <w:jc w:val="center"/>
        <w:rPr>
          <w:rFonts w:cstheme="minorHAnsi"/>
        </w:rPr>
      </w:pPr>
      <w:r w:rsidRPr="00956F09">
        <w:rPr>
          <w:rFonts w:cstheme="minorHAnsi"/>
          <w:noProof/>
        </w:rPr>
        <w:drawing>
          <wp:inline distT="0" distB="0" distL="0" distR="0">
            <wp:extent cx="5534025" cy="3695700"/>
            <wp:effectExtent l="19050" t="0" r="9525" b="0"/>
            <wp:docPr id="36" name="Gráfico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9"/>
              </a:graphicData>
            </a:graphic>
          </wp:inline>
        </w:drawing>
      </w:r>
    </w:p>
    <w:p w:rsidR="00BD0050" w:rsidRPr="00956F09" w:rsidRDefault="00BD0050" w:rsidP="00DE5DD8">
      <w:pPr>
        <w:jc w:val="center"/>
        <w:rPr>
          <w:rFonts w:cstheme="minorHAnsi"/>
        </w:rPr>
      </w:pPr>
    </w:p>
    <w:p w:rsidR="00BD0050" w:rsidRPr="00956F09" w:rsidRDefault="00BD0050" w:rsidP="00DE5DD8">
      <w:pPr>
        <w:jc w:val="center"/>
        <w:rPr>
          <w:rFonts w:cstheme="minorHAnsi"/>
        </w:rPr>
      </w:pPr>
    </w:p>
    <w:p w:rsidR="00BD0050" w:rsidRPr="00956F09" w:rsidRDefault="00BD0050" w:rsidP="00DE5DD8">
      <w:pPr>
        <w:jc w:val="center"/>
        <w:rPr>
          <w:rFonts w:cstheme="minorHAnsi"/>
        </w:rPr>
      </w:pPr>
    </w:p>
    <w:p w:rsidR="00381956" w:rsidRPr="00956F09" w:rsidRDefault="00381956" w:rsidP="00DE5DD8">
      <w:pPr>
        <w:jc w:val="center"/>
        <w:rPr>
          <w:rFonts w:cstheme="minorHAnsi"/>
        </w:rPr>
      </w:pPr>
      <w:r w:rsidRPr="00956F09">
        <w:rPr>
          <w:rFonts w:cstheme="minorHAnsi"/>
          <w:noProof/>
        </w:rPr>
        <w:drawing>
          <wp:inline distT="0" distB="0" distL="0" distR="0">
            <wp:extent cx="5553075" cy="3829050"/>
            <wp:effectExtent l="19050" t="0" r="9525" b="0"/>
            <wp:docPr id="37" name="Gráfico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0"/>
              </a:graphicData>
            </a:graphic>
          </wp:inline>
        </w:drawing>
      </w:r>
    </w:p>
    <w:p w:rsidR="00BD0050" w:rsidRPr="00956F09" w:rsidRDefault="00BD0050" w:rsidP="00DE5DD8">
      <w:pPr>
        <w:jc w:val="center"/>
        <w:rPr>
          <w:rFonts w:cstheme="minorHAnsi"/>
        </w:rPr>
      </w:pPr>
    </w:p>
    <w:p w:rsidR="00381956" w:rsidRPr="00956F09" w:rsidRDefault="00381956" w:rsidP="00DE5DD8">
      <w:pPr>
        <w:jc w:val="center"/>
        <w:rPr>
          <w:rFonts w:cstheme="minorHAnsi"/>
        </w:rPr>
      </w:pPr>
      <w:r w:rsidRPr="00956F09">
        <w:rPr>
          <w:rFonts w:cstheme="minorHAnsi"/>
          <w:noProof/>
        </w:rPr>
        <w:drawing>
          <wp:inline distT="0" distB="0" distL="0" distR="0">
            <wp:extent cx="5553075" cy="3714750"/>
            <wp:effectExtent l="19050" t="0" r="9525" b="0"/>
            <wp:docPr id="38" name="Gráfico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1"/>
              </a:graphicData>
            </a:graphic>
          </wp:inline>
        </w:drawing>
      </w:r>
    </w:p>
    <w:p w:rsidR="00381956" w:rsidRPr="00956F09" w:rsidRDefault="00381956" w:rsidP="00DE5DD8">
      <w:pPr>
        <w:jc w:val="center"/>
        <w:rPr>
          <w:rFonts w:cstheme="minorHAnsi"/>
        </w:rPr>
      </w:pPr>
    </w:p>
    <w:p w:rsidR="00DE5DD8" w:rsidRPr="00956F09" w:rsidRDefault="00DE5DD8" w:rsidP="00DE5DD8">
      <w:pPr>
        <w:jc w:val="center"/>
        <w:rPr>
          <w:rFonts w:cstheme="minorHAnsi"/>
        </w:rPr>
      </w:pPr>
    </w:p>
    <w:p w:rsidR="00DE5DD8" w:rsidRPr="00956F09" w:rsidRDefault="00DE5DD8" w:rsidP="00DE5DD8">
      <w:pPr>
        <w:jc w:val="center"/>
        <w:rPr>
          <w:rFonts w:cstheme="minorHAnsi"/>
        </w:rPr>
      </w:pPr>
    </w:p>
    <w:p w:rsidR="00381956" w:rsidRPr="00956F09" w:rsidRDefault="00381956" w:rsidP="00DE5DD8">
      <w:pPr>
        <w:jc w:val="center"/>
        <w:rPr>
          <w:rFonts w:cstheme="minorHAnsi"/>
        </w:rPr>
      </w:pPr>
      <w:r w:rsidRPr="00956F09">
        <w:rPr>
          <w:rFonts w:cstheme="minorHAnsi"/>
          <w:noProof/>
        </w:rPr>
        <w:drawing>
          <wp:inline distT="0" distB="0" distL="0" distR="0">
            <wp:extent cx="5619750" cy="3724275"/>
            <wp:effectExtent l="19050" t="0" r="19050" b="0"/>
            <wp:docPr id="40" name="Gráfico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2"/>
              </a:graphicData>
            </a:graphic>
          </wp:inline>
        </w:drawing>
      </w:r>
    </w:p>
    <w:p w:rsidR="00BD0050" w:rsidRPr="00956F09" w:rsidRDefault="00BD0050" w:rsidP="00DE5DD8">
      <w:pPr>
        <w:pStyle w:val="Prrafodelista"/>
        <w:jc w:val="center"/>
        <w:rPr>
          <w:rFonts w:cstheme="minorHAnsi"/>
          <w:b/>
        </w:rPr>
      </w:pPr>
    </w:p>
    <w:p w:rsidR="00BD0050" w:rsidRPr="00956F09" w:rsidRDefault="00BD0050" w:rsidP="00DE5DD8">
      <w:pPr>
        <w:pStyle w:val="Prrafodelista"/>
        <w:jc w:val="center"/>
        <w:rPr>
          <w:rFonts w:cstheme="minorHAnsi"/>
          <w:b/>
        </w:rPr>
      </w:pPr>
    </w:p>
    <w:p w:rsidR="00BD0050" w:rsidRPr="00956F09" w:rsidRDefault="00BD0050" w:rsidP="00DE5DD8">
      <w:pPr>
        <w:pStyle w:val="Prrafodelista"/>
        <w:jc w:val="center"/>
        <w:rPr>
          <w:rFonts w:cstheme="minorHAnsi"/>
          <w:b/>
        </w:rPr>
      </w:pPr>
    </w:p>
    <w:p w:rsidR="00BD0050" w:rsidRPr="00956F09" w:rsidRDefault="00BD0050" w:rsidP="00DE5DD8">
      <w:pPr>
        <w:pStyle w:val="Prrafodelista"/>
        <w:jc w:val="center"/>
        <w:rPr>
          <w:rFonts w:cstheme="minorHAnsi"/>
          <w:b/>
        </w:rPr>
      </w:pPr>
    </w:p>
    <w:p w:rsidR="00BD0050" w:rsidRPr="00956F09" w:rsidRDefault="00BD0050" w:rsidP="00DE5DD8">
      <w:pPr>
        <w:pStyle w:val="Prrafodelista"/>
        <w:jc w:val="center"/>
        <w:rPr>
          <w:rFonts w:cstheme="minorHAnsi"/>
          <w:b/>
        </w:rPr>
      </w:pPr>
    </w:p>
    <w:p w:rsidR="00BD0050" w:rsidRPr="00956F09" w:rsidRDefault="00BD0050" w:rsidP="00DE5DD8">
      <w:pPr>
        <w:pStyle w:val="Prrafodelista"/>
        <w:jc w:val="center"/>
        <w:rPr>
          <w:rFonts w:cstheme="minorHAnsi"/>
          <w:b/>
        </w:rPr>
      </w:pPr>
    </w:p>
    <w:p w:rsidR="00BD0050" w:rsidRPr="00956F09" w:rsidRDefault="00BD0050" w:rsidP="00DE5DD8">
      <w:pPr>
        <w:pStyle w:val="Prrafodelista"/>
        <w:jc w:val="center"/>
        <w:rPr>
          <w:rFonts w:cstheme="minorHAnsi"/>
          <w:b/>
        </w:rPr>
      </w:pPr>
    </w:p>
    <w:p w:rsidR="00BD0050" w:rsidRPr="00956F09" w:rsidRDefault="00BD0050" w:rsidP="00DE5DD8">
      <w:pPr>
        <w:pStyle w:val="Prrafodelista"/>
        <w:jc w:val="center"/>
        <w:rPr>
          <w:rFonts w:cstheme="minorHAnsi"/>
          <w:b/>
        </w:rPr>
      </w:pPr>
    </w:p>
    <w:p w:rsidR="00BD0050" w:rsidRPr="00956F09" w:rsidRDefault="00BD0050" w:rsidP="00DE5DD8">
      <w:pPr>
        <w:pStyle w:val="Prrafodelista"/>
        <w:jc w:val="center"/>
        <w:rPr>
          <w:rFonts w:cstheme="minorHAnsi"/>
          <w:b/>
        </w:rPr>
      </w:pPr>
    </w:p>
    <w:p w:rsidR="00BD0050" w:rsidRPr="00956F09" w:rsidRDefault="00BD0050" w:rsidP="00DE5DD8">
      <w:pPr>
        <w:pStyle w:val="Prrafodelista"/>
        <w:jc w:val="center"/>
        <w:rPr>
          <w:rFonts w:cstheme="minorHAnsi"/>
          <w:b/>
        </w:rPr>
      </w:pPr>
    </w:p>
    <w:p w:rsidR="00BD0050" w:rsidRPr="00956F09" w:rsidRDefault="00BD0050" w:rsidP="00DE5DD8">
      <w:pPr>
        <w:pStyle w:val="Prrafodelista"/>
        <w:jc w:val="center"/>
        <w:rPr>
          <w:rFonts w:cstheme="minorHAnsi"/>
          <w:b/>
        </w:rPr>
      </w:pPr>
    </w:p>
    <w:p w:rsidR="00BD0050" w:rsidRPr="00956F09" w:rsidRDefault="00BD0050" w:rsidP="00DE5DD8">
      <w:pPr>
        <w:pStyle w:val="Prrafodelista"/>
        <w:jc w:val="center"/>
        <w:rPr>
          <w:rFonts w:cstheme="minorHAnsi"/>
          <w:b/>
        </w:rPr>
      </w:pPr>
    </w:p>
    <w:p w:rsidR="00BD0050" w:rsidRPr="00956F09" w:rsidRDefault="00BD0050" w:rsidP="00DE5DD8">
      <w:pPr>
        <w:pStyle w:val="Prrafodelista"/>
        <w:jc w:val="center"/>
        <w:rPr>
          <w:rFonts w:cstheme="minorHAnsi"/>
          <w:b/>
        </w:rPr>
      </w:pPr>
    </w:p>
    <w:p w:rsidR="00BD0050" w:rsidRPr="00956F09" w:rsidRDefault="00BD0050" w:rsidP="00DE5DD8">
      <w:pPr>
        <w:pStyle w:val="Prrafodelista"/>
        <w:jc w:val="center"/>
        <w:rPr>
          <w:rFonts w:cstheme="minorHAnsi"/>
          <w:b/>
        </w:rPr>
      </w:pPr>
    </w:p>
    <w:p w:rsidR="00BD0050" w:rsidRPr="00956F09" w:rsidRDefault="00BD0050" w:rsidP="00DE5DD8">
      <w:pPr>
        <w:pStyle w:val="Prrafodelista"/>
        <w:jc w:val="center"/>
        <w:rPr>
          <w:rFonts w:cstheme="minorHAnsi"/>
          <w:b/>
        </w:rPr>
      </w:pPr>
    </w:p>
    <w:p w:rsidR="00BD0050" w:rsidRPr="00956F09" w:rsidRDefault="00BD0050" w:rsidP="00DE5DD8">
      <w:pPr>
        <w:pStyle w:val="Prrafodelista"/>
        <w:jc w:val="center"/>
        <w:rPr>
          <w:rFonts w:cstheme="minorHAnsi"/>
          <w:b/>
        </w:rPr>
      </w:pPr>
    </w:p>
    <w:p w:rsidR="00BD0050" w:rsidRPr="00956F09" w:rsidRDefault="00BD0050" w:rsidP="00DE5DD8">
      <w:pPr>
        <w:pStyle w:val="Prrafodelista"/>
        <w:jc w:val="center"/>
        <w:rPr>
          <w:rFonts w:cstheme="minorHAnsi"/>
          <w:b/>
        </w:rPr>
      </w:pPr>
    </w:p>
    <w:p w:rsidR="00BD0050" w:rsidRPr="00956F09" w:rsidRDefault="00BD0050" w:rsidP="00DE5DD8">
      <w:pPr>
        <w:pStyle w:val="Prrafodelista"/>
        <w:jc w:val="center"/>
        <w:rPr>
          <w:rFonts w:cstheme="minorHAnsi"/>
          <w:b/>
        </w:rPr>
      </w:pPr>
    </w:p>
    <w:p w:rsidR="00BD0050" w:rsidRPr="00956F09" w:rsidRDefault="00BD0050" w:rsidP="00DE5DD8">
      <w:pPr>
        <w:pStyle w:val="Prrafodelista"/>
        <w:jc w:val="center"/>
        <w:rPr>
          <w:rFonts w:cstheme="minorHAnsi"/>
          <w:b/>
        </w:rPr>
      </w:pPr>
    </w:p>
    <w:p w:rsidR="00BD0050" w:rsidRPr="00956F09" w:rsidRDefault="00BD0050" w:rsidP="00DE5DD8">
      <w:pPr>
        <w:pStyle w:val="Prrafodelista"/>
        <w:jc w:val="center"/>
        <w:rPr>
          <w:rFonts w:cstheme="minorHAnsi"/>
          <w:b/>
        </w:rPr>
      </w:pPr>
    </w:p>
    <w:p w:rsidR="00BD0050" w:rsidRPr="00956F09" w:rsidRDefault="00BD0050" w:rsidP="00DE5DD8">
      <w:pPr>
        <w:pStyle w:val="Prrafodelista"/>
        <w:jc w:val="center"/>
        <w:rPr>
          <w:rFonts w:cstheme="minorHAnsi"/>
          <w:b/>
        </w:rPr>
      </w:pPr>
    </w:p>
    <w:p w:rsidR="00BD0050" w:rsidRPr="00956F09" w:rsidRDefault="00BD0050" w:rsidP="00DE5DD8">
      <w:pPr>
        <w:pStyle w:val="Prrafodelista"/>
        <w:jc w:val="center"/>
        <w:rPr>
          <w:rFonts w:cstheme="minorHAnsi"/>
          <w:b/>
        </w:rPr>
      </w:pPr>
    </w:p>
    <w:p w:rsidR="00BD0050" w:rsidRPr="00956F09" w:rsidRDefault="00BD0050" w:rsidP="00DE5DD8">
      <w:pPr>
        <w:pStyle w:val="Prrafodelista"/>
        <w:jc w:val="center"/>
        <w:rPr>
          <w:rFonts w:cstheme="minorHAnsi"/>
          <w:b/>
        </w:rPr>
      </w:pPr>
    </w:p>
    <w:p w:rsidR="00BD0050" w:rsidRPr="00956F09" w:rsidRDefault="00BD0050" w:rsidP="00DE5DD8">
      <w:pPr>
        <w:pStyle w:val="Prrafodelista"/>
        <w:jc w:val="center"/>
        <w:rPr>
          <w:rFonts w:cstheme="minorHAnsi"/>
          <w:b/>
        </w:rPr>
      </w:pPr>
    </w:p>
    <w:p w:rsidR="00DE5DD8" w:rsidRPr="00956F09" w:rsidRDefault="00DE5DD8" w:rsidP="00DE5DD8">
      <w:pPr>
        <w:pStyle w:val="Prrafodelista"/>
        <w:rPr>
          <w:rFonts w:cstheme="minorHAnsi"/>
          <w:b/>
        </w:rPr>
      </w:pPr>
    </w:p>
    <w:p w:rsidR="00381956" w:rsidRPr="00956F09" w:rsidRDefault="00BD0050" w:rsidP="00DE5DD8">
      <w:pPr>
        <w:pStyle w:val="Prrafodelista"/>
        <w:numPr>
          <w:ilvl w:val="0"/>
          <w:numId w:val="1"/>
        </w:numPr>
        <w:jc w:val="center"/>
        <w:rPr>
          <w:rFonts w:cstheme="minorHAnsi"/>
          <w:b/>
        </w:rPr>
      </w:pPr>
      <w:r w:rsidRPr="00956F09">
        <w:rPr>
          <w:rFonts w:cstheme="minorHAnsi"/>
          <w:b/>
        </w:rPr>
        <w:lastRenderedPageBreak/>
        <w:t>TRANSPORTE</w:t>
      </w:r>
    </w:p>
    <w:p w:rsidR="00BD0050" w:rsidRPr="00956F09" w:rsidRDefault="00BD0050" w:rsidP="00DE5DD8">
      <w:pPr>
        <w:pStyle w:val="Prrafodelista"/>
        <w:jc w:val="center"/>
        <w:rPr>
          <w:rFonts w:cstheme="minorHAnsi"/>
          <w:b/>
        </w:rPr>
      </w:pPr>
    </w:p>
    <w:p w:rsidR="00BD0050" w:rsidRPr="00956F09" w:rsidRDefault="00BD0050" w:rsidP="00DE5DD8">
      <w:pPr>
        <w:pStyle w:val="Prrafodelista"/>
        <w:numPr>
          <w:ilvl w:val="0"/>
          <w:numId w:val="3"/>
        </w:numPr>
        <w:jc w:val="center"/>
        <w:rPr>
          <w:rFonts w:cstheme="minorHAnsi"/>
          <w:b/>
        </w:rPr>
      </w:pPr>
      <w:r w:rsidRPr="00956F09">
        <w:rPr>
          <w:rFonts w:cstheme="minorHAnsi"/>
          <w:b/>
        </w:rPr>
        <w:t>ENERGÍAS PRIMARIAS</w:t>
      </w:r>
    </w:p>
    <w:p w:rsidR="00BD0050" w:rsidRPr="00956F09" w:rsidRDefault="00BD0050" w:rsidP="00DE5DD8">
      <w:pPr>
        <w:ind w:left="720"/>
        <w:jc w:val="center"/>
        <w:rPr>
          <w:rFonts w:cstheme="minorHAnsi"/>
        </w:rPr>
      </w:pPr>
      <w:r w:rsidRPr="00956F09">
        <w:rPr>
          <w:rFonts w:cstheme="minorHAnsi"/>
          <w:noProof/>
        </w:rPr>
        <w:drawing>
          <wp:inline distT="0" distB="0" distL="0" distR="0">
            <wp:extent cx="5486400" cy="3200400"/>
            <wp:effectExtent l="19050" t="0" r="19050" b="0"/>
            <wp:docPr id="44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3"/>
              </a:graphicData>
            </a:graphic>
          </wp:inline>
        </w:drawing>
      </w:r>
    </w:p>
    <w:p w:rsidR="00BD0050" w:rsidRPr="00956F09" w:rsidRDefault="00BD0050" w:rsidP="00DE5DD8">
      <w:pPr>
        <w:ind w:left="720"/>
        <w:jc w:val="center"/>
        <w:rPr>
          <w:rFonts w:cstheme="minorHAnsi"/>
        </w:rPr>
      </w:pPr>
    </w:p>
    <w:p w:rsidR="00BD0050" w:rsidRPr="00956F09" w:rsidRDefault="00BD0050" w:rsidP="00DE5DD8">
      <w:pPr>
        <w:ind w:left="720"/>
        <w:jc w:val="center"/>
        <w:rPr>
          <w:rFonts w:cstheme="minorHAnsi"/>
        </w:rPr>
      </w:pPr>
      <w:r w:rsidRPr="00956F09">
        <w:rPr>
          <w:rFonts w:cstheme="minorHAnsi"/>
          <w:noProof/>
        </w:rPr>
        <w:drawing>
          <wp:inline distT="0" distB="0" distL="0" distR="0">
            <wp:extent cx="5486400" cy="3200400"/>
            <wp:effectExtent l="25400" t="25400" r="0" b="0"/>
            <wp:docPr id="45" name="G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4"/>
              </a:graphicData>
            </a:graphic>
          </wp:inline>
        </w:drawing>
      </w:r>
    </w:p>
    <w:p w:rsidR="00B01723" w:rsidRPr="00956F09" w:rsidRDefault="00B01723" w:rsidP="00DE5DD8">
      <w:pPr>
        <w:ind w:left="720"/>
        <w:jc w:val="center"/>
        <w:rPr>
          <w:rFonts w:cstheme="minorHAnsi"/>
        </w:rPr>
      </w:pPr>
    </w:p>
    <w:p w:rsidR="00B01723" w:rsidRPr="00956F09" w:rsidRDefault="00B01723" w:rsidP="00DE5DD8">
      <w:pPr>
        <w:ind w:left="720"/>
        <w:jc w:val="center"/>
        <w:rPr>
          <w:rFonts w:cstheme="minorHAnsi"/>
        </w:rPr>
      </w:pPr>
    </w:p>
    <w:p w:rsidR="00B01723" w:rsidRPr="00956F09" w:rsidRDefault="00B01723" w:rsidP="00DE5DD8">
      <w:pPr>
        <w:ind w:left="720"/>
        <w:jc w:val="center"/>
        <w:rPr>
          <w:rFonts w:cstheme="minorHAnsi"/>
        </w:rPr>
      </w:pPr>
    </w:p>
    <w:p w:rsidR="00B01723" w:rsidRPr="00956F09" w:rsidRDefault="00B01723" w:rsidP="00DE5DD8">
      <w:pPr>
        <w:ind w:left="720"/>
        <w:jc w:val="center"/>
        <w:rPr>
          <w:rFonts w:cstheme="minorHAnsi"/>
        </w:rPr>
      </w:pPr>
    </w:p>
    <w:p w:rsidR="00B01723" w:rsidRPr="00956F09" w:rsidRDefault="00B01723" w:rsidP="00DE5DD8">
      <w:pPr>
        <w:ind w:left="720"/>
        <w:jc w:val="center"/>
        <w:rPr>
          <w:rFonts w:cstheme="minorHAnsi"/>
        </w:rPr>
      </w:pPr>
    </w:p>
    <w:p w:rsidR="00BD0050" w:rsidRPr="00956F09" w:rsidRDefault="00BD0050" w:rsidP="00DE5DD8">
      <w:pPr>
        <w:ind w:left="720"/>
        <w:jc w:val="center"/>
        <w:rPr>
          <w:rFonts w:cstheme="minorHAnsi"/>
        </w:rPr>
      </w:pPr>
      <w:r w:rsidRPr="00956F09">
        <w:rPr>
          <w:rFonts w:cstheme="minorHAnsi"/>
          <w:noProof/>
        </w:rPr>
        <w:drawing>
          <wp:inline distT="0" distB="0" distL="0" distR="0">
            <wp:extent cx="5486400" cy="3200400"/>
            <wp:effectExtent l="25400" t="25400" r="0" b="0"/>
            <wp:docPr id="46" name="G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5"/>
              </a:graphicData>
            </a:graphic>
          </wp:inline>
        </w:drawing>
      </w:r>
    </w:p>
    <w:p w:rsidR="00B01723" w:rsidRPr="00956F09" w:rsidRDefault="00B01723" w:rsidP="00DE5DD8">
      <w:pPr>
        <w:pStyle w:val="Prrafodelista"/>
        <w:ind w:left="1843"/>
        <w:jc w:val="center"/>
        <w:rPr>
          <w:rFonts w:cstheme="minorHAnsi"/>
          <w:b/>
        </w:rPr>
      </w:pPr>
    </w:p>
    <w:p w:rsidR="00BD0050" w:rsidRPr="00956F09" w:rsidRDefault="00BD0050" w:rsidP="00DE5DD8">
      <w:pPr>
        <w:pStyle w:val="Prrafodelista"/>
        <w:numPr>
          <w:ilvl w:val="0"/>
          <w:numId w:val="3"/>
        </w:numPr>
        <w:ind w:left="1843"/>
        <w:jc w:val="center"/>
        <w:rPr>
          <w:rFonts w:cstheme="minorHAnsi"/>
          <w:b/>
        </w:rPr>
      </w:pPr>
      <w:r w:rsidRPr="00956F09">
        <w:rPr>
          <w:rFonts w:cstheme="minorHAnsi"/>
          <w:b/>
        </w:rPr>
        <w:t>ENERGÍAS SECUNDARIAS</w:t>
      </w:r>
    </w:p>
    <w:p w:rsidR="00B01723" w:rsidRPr="00956F09" w:rsidRDefault="00B01723" w:rsidP="00DE5DD8">
      <w:pPr>
        <w:ind w:left="720"/>
        <w:jc w:val="center"/>
        <w:rPr>
          <w:rFonts w:cstheme="minorHAnsi"/>
        </w:rPr>
      </w:pPr>
    </w:p>
    <w:p w:rsidR="00BD0050" w:rsidRPr="00956F09" w:rsidRDefault="00BD0050" w:rsidP="00DE5DD8">
      <w:pPr>
        <w:ind w:left="720"/>
        <w:jc w:val="center"/>
        <w:rPr>
          <w:rFonts w:cstheme="minorHAnsi"/>
        </w:rPr>
      </w:pPr>
      <w:bookmarkStart w:id="0" w:name="_GoBack"/>
      <w:r w:rsidRPr="00956F09">
        <w:rPr>
          <w:rFonts w:cstheme="minorHAnsi"/>
          <w:noProof/>
        </w:rPr>
        <w:drawing>
          <wp:inline distT="0" distB="0" distL="0" distR="0">
            <wp:extent cx="5486400" cy="3200400"/>
            <wp:effectExtent l="19050" t="0" r="19050" b="0"/>
            <wp:docPr id="47" name="G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6"/>
              </a:graphicData>
            </a:graphic>
          </wp:inline>
        </w:drawing>
      </w:r>
      <w:bookmarkEnd w:id="0"/>
    </w:p>
    <w:p w:rsidR="00B01723" w:rsidRPr="00956F09" w:rsidRDefault="00B01723" w:rsidP="00DE5DD8">
      <w:pPr>
        <w:ind w:left="720"/>
        <w:jc w:val="center"/>
        <w:rPr>
          <w:rFonts w:cstheme="minorHAnsi"/>
        </w:rPr>
      </w:pPr>
    </w:p>
    <w:p w:rsidR="00B01723" w:rsidRPr="00956F09" w:rsidRDefault="00B01723" w:rsidP="00DE5DD8">
      <w:pPr>
        <w:ind w:left="720"/>
        <w:jc w:val="center"/>
        <w:rPr>
          <w:rFonts w:cstheme="minorHAnsi"/>
        </w:rPr>
      </w:pPr>
    </w:p>
    <w:p w:rsidR="00B01723" w:rsidRPr="00956F09" w:rsidRDefault="00B01723" w:rsidP="00DE5DD8">
      <w:pPr>
        <w:ind w:left="720"/>
        <w:jc w:val="center"/>
        <w:rPr>
          <w:rFonts w:cstheme="minorHAnsi"/>
        </w:rPr>
      </w:pPr>
    </w:p>
    <w:p w:rsidR="00B01723" w:rsidRPr="00956F09" w:rsidRDefault="00B01723" w:rsidP="00DE5DD8">
      <w:pPr>
        <w:ind w:left="720"/>
        <w:jc w:val="center"/>
        <w:rPr>
          <w:rFonts w:cstheme="minorHAnsi"/>
        </w:rPr>
      </w:pPr>
    </w:p>
    <w:p w:rsidR="00B01723" w:rsidRPr="00956F09" w:rsidRDefault="00B01723" w:rsidP="00DE5DD8">
      <w:pPr>
        <w:ind w:left="720"/>
        <w:jc w:val="center"/>
        <w:rPr>
          <w:rFonts w:cstheme="minorHAnsi"/>
        </w:rPr>
      </w:pPr>
    </w:p>
    <w:p w:rsidR="00BD0050" w:rsidRPr="00956F09" w:rsidRDefault="00BD0050" w:rsidP="00DE5DD8">
      <w:pPr>
        <w:ind w:left="720"/>
        <w:jc w:val="center"/>
        <w:rPr>
          <w:rFonts w:cstheme="minorHAnsi"/>
        </w:rPr>
      </w:pPr>
      <w:r w:rsidRPr="00956F09">
        <w:rPr>
          <w:rFonts w:cstheme="minorHAnsi"/>
          <w:noProof/>
        </w:rPr>
        <w:drawing>
          <wp:inline distT="0" distB="0" distL="0" distR="0">
            <wp:extent cx="5486400" cy="3200400"/>
            <wp:effectExtent l="19050" t="0" r="19050" b="0"/>
            <wp:docPr id="48" name="Gráfico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7"/>
              </a:graphicData>
            </a:graphic>
          </wp:inline>
        </w:drawing>
      </w:r>
    </w:p>
    <w:p w:rsidR="00BD0050" w:rsidRPr="00956F09" w:rsidRDefault="00BD0050" w:rsidP="00DE5DD8">
      <w:pPr>
        <w:ind w:left="720"/>
        <w:jc w:val="center"/>
        <w:rPr>
          <w:rFonts w:cstheme="minorHAnsi"/>
        </w:rPr>
      </w:pPr>
    </w:p>
    <w:p w:rsidR="00BD0050" w:rsidRPr="00956F09" w:rsidRDefault="00BD0050" w:rsidP="00DE5DD8">
      <w:pPr>
        <w:ind w:left="720"/>
        <w:jc w:val="center"/>
        <w:rPr>
          <w:rFonts w:cstheme="minorHAnsi"/>
        </w:rPr>
      </w:pPr>
    </w:p>
    <w:p w:rsidR="00BD0050" w:rsidRPr="00956F09" w:rsidRDefault="00BD0050" w:rsidP="00DE5DD8">
      <w:pPr>
        <w:ind w:left="720"/>
        <w:jc w:val="center"/>
        <w:rPr>
          <w:rFonts w:cstheme="minorHAnsi"/>
        </w:rPr>
      </w:pPr>
      <w:r w:rsidRPr="00956F09">
        <w:rPr>
          <w:rFonts w:cstheme="minorHAnsi"/>
          <w:noProof/>
        </w:rPr>
        <w:drawing>
          <wp:inline distT="0" distB="0" distL="0" distR="0">
            <wp:extent cx="5486400" cy="3200400"/>
            <wp:effectExtent l="19050" t="0" r="19050" b="0"/>
            <wp:docPr id="49" name="Gráfico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8"/>
              </a:graphicData>
            </a:graphic>
          </wp:inline>
        </w:drawing>
      </w:r>
    </w:p>
    <w:p w:rsidR="00B01723" w:rsidRPr="00956F09" w:rsidRDefault="00B01723" w:rsidP="00DE5DD8">
      <w:pPr>
        <w:ind w:left="720"/>
        <w:jc w:val="center"/>
        <w:rPr>
          <w:rFonts w:cstheme="minorHAnsi"/>
        </w:rPr>
      </w:pPr>
    </w:p>
    <w:p w:rsidR="00B01723" w:rsidRPr="00956F09" w:rsidRDefault="00B01723" w:rsidP="00DE5DD8">
      <w:pPr>
        <w:ind w:left="720"/>
        <w:jc w:val="center"/>
        <w:rPr>
          <w:rFonts w:cstheme="minorHAnsi"/>
        </w:rPr>
      </w:pPr>
    </w:p>
    <w:p w:rsidR="00B01723" w:rsidRPr="00956F09" w:rsidRDefault="00B01723" w:rsidP="00DE5DD8">
      <w:pPr>
        <w:ind w:left="720"/>
        <w:jc w:val="center"/>
        <w:rPr>
          <w:rFonts w:cstheme="minorHAnsi"/>
        </w:rPr>
      </w:pPr>
    </w:p>
    <w:p w:rsidR="00B01723" w:rsidRPr="00956F09" w:rsidRDefault="00B01723" w:rsidP="00DE5DD8">
      <w:pPr>
        <w:ind w:left="720"/>
        <w:jc w:val="center"/>
        <w:rPr>
          <w:rFonts w:cstheme="minorHAnsi"/>
        </w:rPr>
      </w:pPr>
    </w:p>
    <w:p w:rsidR="00B01723" w:rsidRPr="00956F09" w:rsidRDefault="00B01723" w:rsidP="00DE5DD8">
      <w:pPr>
        <w:ind w:left="720"/>
        <w:jc w:val="center"/>
        <w:rPr>
          <w:rFonts w:cstheme="minorHAnsi"/>
        </w:rPr>
      </w:pPr>
    </w:p>
    <w:p w:rsidR="00B01723" w:rsidRPr="00956F09" w:rsidRDefault="00B01723" w:rsidP="00DE5DD8">
      <w:pPr>
        <w:ind w:left="720"/>
        <w:jc w:val="center"/>
        <w:rPr>
          <w:rFonts w:cstheme="minorHAnsi"/>
        </w:rPr>
      </w:pPr>
    </w:p>
    <w:p w:rsidR="00BD0050" w:rsidRPr="00956F09" w:rsidRDefault="00BD0050" w:rsidP="00DE5DD8">
      <w:pPr>
        <w:ind w:left="720"/>
        <w:jc w:val="center"/>
        <w:rPr>
          <w:rFonts w:cstheme="minorHAnsi"/>
        </w:rPr>
      </w:pPr>
      <w:r w:rsidRPr="00956F09">
        <w:rPr>
          <w:rFonts w:cstheme="minorHAnsi"/>
          <w:noProof/>
        </w:rPr>
        <w:drawing>
          <wp:inline distT="0" distB="0" distL="0" distR="0">
            <wp:extent cx="5486400" cy="3200400"/>
            <wp:effectExtent l="19050" t="0" r="19050" b="0"/>
            <wp:docPr id="50" name="Gráfico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9"/>
              </a:graphicData>
            </a:graphic>
          </wp:inline>
        </w:drawing>
      </w:r>
    </w:p>
    <w:p w:rsidR="00B01723" w:rsidRPr="00956F09" w:rsidRDefault="00B01723" w:rsidP="00DE5DD8">
      <w:pPr>
        <w:ind w:left="720"/>
        <w:jc w:val="center"/>
        <w:rPr>
          <w:rFonts w:cstheme="minorHAnsi"/>
        </w:rPr>
      </w:pPr>
    </w:p>
    <w:p w:rsidR="00B01723" w:rsidRPr="00956F09" w:rsidRDefault="00B01723" w:rsidP="00DE5DD8">
      <w:pPr>
        <w:ind w:left="720"/>
        <w:jc w:val="center"/>
        <w:rPr>
          <w:rFonts w:cstheme="minorHAnsi"/>
        </w:rPr>
      </w:pPr>
    </w:p>
    <w:p w:rsidR="00BD0050" w:rsidRPr="00956F09" w:rsidRDefault="00BD0050" w:rsidP="00DE5DD8">
      <w:pPr>
        <w:ind w:left="720"/>
        <w:jc w:val="center"/>
        <w:rPr>
          <w:rFonts w:cstheme="minorHAnsi"/>
        </w:rPr>
      </w:pPr>
      <w:r w:rsidRPr="00956F09">
        <w:rPr>
          <w:rFonts w:cstheme="minorHAnsi"/>
          <w:noProof/>
        </w:rPr>
        <w:drawing>
          <wp:inline distT="0" distB="0" distL="0" distR="0">
            <wp:extent cx="5486400" cy="3200400"/>
            <wp:effectExtent l="19050" t="0" r="19050" b="0"/>
            <wp:docPr id="51" name="Gráfico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0"/>
              </a:graphicData>
            </a:graphic>
          </wp:inline>
        </w:drawing>
      </w:r>
    </w:p>
    <w:p w:rsidR="00B01723" w:rsidRPr="00956F09" w:rsidRDefault="00B01723" w:rsidP="00DE5DD8">
      <w:pPr>
        <w:ind w:left="720"/>
        <w:jc w:val="center"/>
        <w:rPr>
          <w:rFonts w:cstheme="minorHAnsi"/>
        </w:rPr>
      </w:pPr>
    </w:p>
    <w:p w:rsidR="00B01723" w:rsidRPr="00956F09" w:rsidRDefault="00B01723" w:rsidP="00DE5DD8">
      <w:pPr>
        <w:ind w:left="720"/>
        <w:jc w:val="center"/>
        <w:rPr>
          <w:rFonts w:cstheme="minorHAnsi"/>
        </w:rPr>
      </w:pPr>
    </w:p>
    <w:p w:rsidR="00B01723" w:rsidRPr="00956F09" w:rsidRDefault="00B01723" w:rsidP="00DE5DD8">
      <w:pPr>
        <w:ind w:left="720"/>
        <w:jc w:val="center"/>
        <w:rPr>
          <w:rFonts w:cstheme="minorHAnsi"/>
        </w:rPr>
      </w:pPr>
    </w:p>
    <w:p w:rsidR="00B01723" w:rsidRPr="00956F09" w:rsidRDefault="00B01723" w:rsidP="00DE5DD8">
      <w:pPr>
        <w:ind w:left="720"/>
        <w:jc w:val="center"/>
        <w:rPr>
          <w:rFonts w:cstheme="minorHAnsi"/>
        </w:rPr>
      </w:pPr>
    </w:p>
    <w:p w:rsidR="00B01723" w:rsidRPr="00956F09" w:rsidRDefault="00B01723" w:rsidP="00DE5DD8">
      <w:pPr>
        <w:ind w:left="720"/>
        <w:jc w:val="center"/>
        <w:rPr>
          <w:rFonts w:cstheme="minorHAnsi"/>
        </w:rPr>
      </w:pPr>
    </w:p>
    <w:p w:rsidR="00B01723" w:rsidRPr="00956F09" w:rsidRDefault="00B01723" w:rsidP="00DE5DD8">
      <w:pPr>
        <w:ind w:left="720"/>
        <w:jc w:val="center"/>
        <w:rPr>
          <w:rFonts w:cstheme="minorHAnsi"/>
        </w:rPr>
      </w:pPr>
    </w:p>
    <w:p w:rsidR="00BD0050" w:rsidRPr="00956F09" w:rsidRDefault="00BD0050" w:rsidP="00DE5DD8">
      <w:pPr>
        <w:ind w:left="720"/>
        <w:jc w:val="center"/>
        <w:rPr>
          <w:rFonts w:cstheme="minorHAnsi"/>
        </w:rPr>
      </w:pPr>
      <w:r w:rsidRPr="00956F09">
        <w:rPr>
          <w:rFonts w:cstheme="minorHAnsi"/>
          <w:noProof/>
        </w:rPr>
        <w:drawing>
          <wp:inline distT="0" distB="0" distL="0" distR="0">
            <wp:extent cx="5486400" cy="3200400"/>
            <wp:effectExtent l="19050" t="0" r="19050" b="0"/>
            <wp:docPr id="52" name="Gráfico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1"/>
              </a:graphicData>
            </a:graphic>
          </wp:inline>
        </w:drawing>
      </w:r>
    </w:p>
    <w:p w:rsidR="00B01723" w:rsidRPr="00956F09" w:rsidRDefault="00B01723" w:rsidP="00DE5DD8">
      <w:pPr>
        <w:ind w:left="720"/>
        <w:jc w:val="center"/>
        <w:rPr>
          <w:rFonts w:cstheme="minorHAnsi"/>
        </w:rPr>
      </w:pPr>
    </w:p>
    <w:p w:rsidR="00B01723" w:rsidRPr="00956F09" w:rsidRDefault="00B01723" w:rsidP="00DE5DD8">
      <w:pPr>
        <w:ind w:left="720"/>
        <w:jc w:val="center"/>
        <w:rPr>
          <w:rFonts w:cstheme="minorHAnsi"/>
        </w:rPr>
      </w:pPr>
    </w:p>
    <w:p w:rsidR="00BD0050" w:rsidRPr="00956F09" w:rsidRDefault="00BD0050" w:rsidP="00DE5DD8">
      <w:pPr>
        <w:ind w:left="720"/>
        <w:jc w:val="center"/>
        <w:rPr>
          <w:rFonts w:cstheme="minorHAnsi"/>
        </w:rPr>
      </w:pPr>
      <w:r w:rsidRPr="00956F09">
        <w:rPr>
          <w:rFonts w:cstheme="minorHAnsi"/>
          <w:noProof/>
        </w:rPr>
        <w:drawing>
          <wp:inline distT="0" distB="0" distL="0" distR="0">
            <wp:extent cx="5486400" cy="3200400"/>
            <wp:effectExtent l="19050" t="0" r="19050" b="0"/>
            <wp:docPr id="53" name="Gráfico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2"/>
              </a:graphicData>
            </a:graphic>
          </wp:inline>
        </w:drawing>
      </w:r>
    </w:p>
    <w:p w:rsidR="00B01723" w:rsidRPr="00956F09" w:rsidRDefault="00B01723" w:rsidP="00DE5DD8">
      <w:pPr>
        <w:ind w:left="720"/>
        <w:jc w:val="center"/>
        <w:rPr>
          <w:rFonts w:cstheme="minorHAnsi"/>
        </w:rPr>
      </w:pPr>
    </w:p>
    <w:p w:rsidR="00B01723" w:rsidRPr="00956F09" w:rsidRDefault="00B01723" w:rsidP="00DE5DD8">
      <w:pPr>
        <w:ind w:left="720"/>
        <w:jc w:val="center"/>
        <w:rPr>
          <w:rFonts w:cstheme="minorHAnsi"/>
        </w:rPr>
      </w:pPr>
    </w:p>
    <w:p w:rsidR="00B01723" w:rsidRPr="00956F09" w:rsidRDefault="00B01723" w:rsidP="00DE5DD8">
      <w:pPr>
        <w:ind w:left="720"/>
        <w:jc w:val="center"/>
        <w:rPr>
          <w:rFonts w:cstheme="minorHAnsi"/>
        </w:rPr>
      </w:pPr>
    </w:p>
    <w:p w:rsidR="00B01723" w:rsidRPr="00956F09" w:rsidRDefault="00B01723" w:rsidP="00DE5DD8">
      <w:pPr>
        <w:ind w:left="720"/>
        <w:jc w:val="center"/>
        <w:rPr>
          <w:rFonts w:cstheme="minorHAnsi"/>
        </w:rPr>
      </w:pPr>
    </w:p>
    <w:p w:rsidR="00B01723" w:rsidRPr="00956F09" w:rsidRDefault="00B01723" w:rsidP="00DE5DD8">
      <w:pPr>
        <w:ind w:left="720"/>
        <w:jc w:val="center"/>
        <w:rPr>
          <w:rFonts w:cstheme="minorHAnsi"/>
        </w:rPr>
      </w:pPr>
    </w:p>
    <w:p w:rsidR="00B01723" w:rsidRPr="00956F09" w:rsidRDefault="00B01723" w:rsidP="00DE5DD8">
      <w:pPr>
        <w:ind w:left="720"/>
        <w:jc w:val="center"/>
        <w:rPr>
          <w:rFonts w:cstheme="minorHAnsi"/>
        </w:rPr>
      </w:pPr>
    </w:p>
    <w:p w:rsidR="00BD0050" w:rsidRPr="00956F09" w:rsidRDefault="00BD0050" w:rsidP="00DE5DD8">
      <w:pPr>
        <w:ind w:left="720"/>
        <w:jc w:val="center"/>
        <w:rPr>
          <w:rFonts w:cstheme="minorHAnsi"/>
        </w:rPr>
      </w:pPr>
      <w:r w:rsidRPr="00956F09">
        <w:rPr>
          <w:rFonts w:cstheme="minorHAnsi"/>
          <w:noProof/>
        </w:rPr>
        <w:drawing>
          <wp:inline distT="0" distB="0" distL="0" distR="0">
            <wp:extent cx="5543550" cy="3333750"/>
            <wp:effectExtent l="0" t="0" r="0" b="0"/>
            <wp:docPr id="54" name="Gráfico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3"/>
              </a:graphicData>
            </a:graphic>
          </wp:inline>
        </w:drawing>
      </w:r>
    </w:p>
    <w:p w:rsidR="00B01723" w:rsidRPr="00956F09" w:rsidRDefault="00B01723" w:rsidP="00DE5DD8">
      <w:pPr>
        <w:ind w:left="720"/>
        <w:jc w:val="center"/>
        <w:rPr>
          <w:rFonts w:cstheme="minorHAnsi"/>
        </w:rPr>
      </w:pPr>
    </w:p>
    <w:p w:rsidR="00B01723" w:rsidRPr="00956F09" w:rsidRDefault="00B01723" w:rsidP="00DE5DD8">
      <w:pPr>
        <w:ind w:left="720"/>
        <w:jc w:val="center"/>
        <w:rPr>
          <w:rFonts w:cstheme="minorHAnsi"/>
        </w:rPr>
      </w:pPr>
    </w:p>
    <w:p w:rsidR="00BD0050" w:rsidRPr="00956F09" w:rsidRDefault="00BD0050" w:rsidP="00DE5DD8">
      <w:pPr>
        <w:ind w:left="720"/>
        <w:jc w:val="center"/>
        <w:rPr>
          <w:rFonts w:cstheme="minorHAnsi"/>
        </w:rPr>
      </w:pPr>
      <w:r w:rsidRPr="00956F09">
        <w:rPr>
          <w:rFonts w:cstheme="minorHAnsi"/>
          <w:noProof/>
        </w:rPr>
        <w:drawing>
          <wp:inline distT="0" distB="0" distL="0" distR="0">
            <wp:extent cx="5486400" cy="3200400"/>
            <wp:effectExtent l="19050" t="0" r="19050" b="0"/>
            <wp:docPr id="55" name="Gráfico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4"/>
              </a:graphicData>
            </a:graphic>
          </wp:inline>
        </w:drawing>
      </w:r>
    </w:p>
    <w:p w:rsidR="00B01723" w:rsidRPr="00956F09" w:rsidRDefault="00B01723" w:rsidP="00DE5DD8">
      <w:pPr>
        <w:ind w:left="720"/>
        <w:jc w:val="center"/>
        <w:rPr>
          <w:rFonts w:cstheme="minorHAnsi"/>
        </w:rPr>
      </w:pPr>
    </w:p>
    <w:p w:rsidR="00B01723" w:rsidRPr="00956F09" w:rsidRDefault="00B01723" w:rsidP="00DE5DD8">
      <w:pPr>
        <w:ind w:left="720"/>
        <w:jc w:val="center"/>
        <w:rPr>
          <w:rFonts w:cstheme="minorHAnsi"/>
        </w:rPr>
      </w:pPr>
    </w:p>
    <w:p w:rsidR="00B01723" w:rsidRPr="00956F09" w:rsidRDefault="00B01723" w:rsidP="00DE5DD8">
      <w:pPr>
        <w:ind w:left="720"/>
        <w:jc w:val="center"/>
        <w:rPr>
          <w:rFonts w:cstheme="minorHAnsi"/>
        </w:rPr>
      </w:pPr>
    </w:p>
    <w:p w:rsidR="00B01723" w:rsidRPr="00956F09" w:rsidRDefault="00B01723" w:rsidP="00DE5DD8">
      <w:pPr>
        <w:ind w:left="720"/>
        <w:jc w:val="center"/>
        <w:rPr>
          <w:rFonts w:cstheme="minorHAnsi"/>
        </w:rPr>
      </w:pPr>
    </w:p>
    <w:p w:rsidR="00B01723" w:rsidRPr="00956F09" w:rsidRDefault="00B01723" w:rsidP="00DE5DD8">
      <w:pPr>
        <w:ind w:left="720"/>
        <w:jc w:val="center"/>
        <w:rPr>
          <w:rFonts w:cstheme="minorHAnsi"/>
        </w:rPr>
      </w:pPr>
    </w:p>
    <w:p w:rsidR="00BD0050" w:rsidRPr="00956F09" w:rsidRDefault="00BD0050" w:rsidP="00DE5DD8">
      <w:pPr>
        <w:ind w:left="720"/>
        <w:jc w:val="center"/>
        <w:rPr>
          <w:rFonts w:cstheme="minorHAnsi"/>
        </w:rPr>
      </w:pPr>
      <w:r w:rsidRPr="00956F09">
        <w:rPr>
          <w:rFonts w:cstheme="minorHAnsi"/>
          <w:noProof/>
        </w:rPr>
        <w:drawing>
          <wp:inline distT="0" distB="0" distL="0" distR="0">
            <wp:extent cx="5486400" cy="3200400"/>
            <wp:effectExtent l="0" t="0" r="0" b="0"/>
            <wp:docPr id="56" name="Gráfico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5"/>
              </a:graphicData>
            </a:graphic>
          </wp:inline>
        </w:drawing>
      </w:r>
    </w:p>
    <w:p w:rsidR="00B01723" w:rsidRPr="00956F09" w:rsidRDefault="00B01723" w:rsidP="00DE5DD8">
      <w:pPr>
        <w:ind w:left="720"/>
        <w:jc w:val="center"/>
        <w:rPr>
          <w:rFonts w:cstheme="minorHAnsi"/>
        </w:rPr>
      </w:pPr>
    </w:p>
    <w:p w:rsidR="00B01723" w:rsidRPr="00956F09" w:rsidRDefault="00B01723" w:rsidP="00DE5DD8">
      <w:pPr>
        <w:ind w:left="720"/>
        <w:jc w:val="center"/>
        <w:rPr>
          <w:rFonts w:cstheme="minorHAnsi"/>
        </w:rPr>
      </w:pPr>
    </w:p>
    <w:p w:rsidR="00BD0050" w:rsidRPr="00956F09" w:rsidRDefault="00BD0050" w:rsidP="00DE5DD8">
      <w:pPr>
        <w:ind w:left="720"/>
        <w:jc w:val="center"/>
        <w:rPr>
          <w:rFonts w:cstheme="minorHAnsi"/>
        </w:rPr>
      </w:pPr>
      <w:r w:rsidRPr="00956F09">
        <w:rPr>
          <w:rFonts w:cstheme="minorHAnsi"/>
          <w:noProof/>
        </w:rPr>
        <w:drawing>
          <wp:inline distT="0" distB="0" distL="0" distR="0">
            <wp:extent cx="5486400" cy="3200400"/>
            <wp:effectExtent l="19050" t="0" r="19050" b="0"/>
            <wp:docPr id="57" name="Gráfico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6"/>
              </a:graphicData>
            </a:graphic>
          </wp:inline>
        </w:drawing>
      </w:r>
    </w:p>
    <w:p w:rsidR="00BD0050" w:rsidRPr="00956F09" w:rsidRDefault="00BD0050" w:rsidP="00DE5DD8">
      <w:pPr>
        <w:jc w:val="center"/>
        <w:rPr>
          <w:rFonts w:cstheme="minorHAnsi"/>
          <w:b/>
        </w:rPr>
      </w:pPr>
    </w:p>
    <w:p w:rsidR="00A0297F" w:rsidRPr="00956F09" w:rsidRDefault="00A0297F" w:rsidP="00880C94">
      <w:pPr>
        <w:rPr>
          <w:rFonts w:cstheme="minorHAnsi"/>
          <w:b/>
        </w:rPr>
      </w:pPr>
      <w:r w:rsidRPr="00956F09">
        <w:rPr>
          <w:rFonts w:cstheme="minorHAnsi"/>
          <w:b/>
        </w:rPr>
        <w:t xml:space="preserve">Fuente de Información: Balance en Terajoules año 2009, </w:t>
      </w:r>
      <w:hyperlink r:id="rId47" w:history="1">
        <w:r w:rsidR="00880C94" w:rsidRPr="00956F09">
          <w:rPr>
            <w:rStyle w:val="Hipervnculo"/>
            <w:rFonts w:cstheme="minorHAnsi"/>
            <w:b/>
          </w:rPr>
          <w:t>http://www.upme.gov.co/GeneradorConsultas/Consulta_Balance.aspx?IdModulo=3</w:t>
        </w:r>
      </w:hyperlink>
      <w:r w:rsidR="00880C94" w:rsidRPr="00956F09">
        <w:rPr>
          <w:rFonts w:cstheme="minorHAnsi"/>
          <w:b/>
        </w:rPr>
        <w:t>, octubre de 2011.</w:t>
      </w:r>
    </w:p>
    <w:sectPr w:rsidR="00A0297F" w:rsidRPr="00956F09" w:rsidSect="00BD0050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15572D"/>
    <w:multiLevelType w:val="hybridMultilevel"/>
    <w:tmpl w:val="7C8ED68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FA1232"/>
    <w:multiLevelType w:val="hybridMultilevel"/>
    <w:tmpl w:val="A71E9C0C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7F85567D"/>
    <w:multiLevelType w:val="hybridMultilevel"/>
    <w:tmpl w:val="7984378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2CA"/>
    <w:rsid w:val="00002ED9"/>
    <w:rsid w:val="000553EE"/>
    <w:rsid w:val="00333988"/>
    <w:rsid w:val="00381956"/>
    <w:rsid w:val="0041497A"/>
    <w:rsid w:val="004320BC"/>
    <w:rsid w:val="00654268"/>
    <w:rsid w:val="00700453"/>
    <w:rsid w:val="00880C94"/>
    <w:rsid w:val="00956F09"/>
    <w:rsid w:val="009745E5"/>
    <w:rsid w:val="00A0297F"/>
    <w:rsid w:val="00A0339D"/>
    <w:rsid w:val="00A03CFC"/>
    <w:rsid w:val="00B01723"/>
    <w:rsid w:val="00B4375F"/>
    <w:rsid w:val="00BD0050"/>
    <w:rsid w:val="00C272CA"/>
    <w:rsid w:val="00C47F9C"/>
    <w:rsid w:val="00C7305B"/>
    <w:rsid w:val="00D22249"/>
    <w:rsid w:val="00DB27B5"/>
    <w:rsid w:val="00DE5DD8"/>
    <w:rsid w:val="00E25FD1"/>
    <w:rsid w:val="00E35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272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272CA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381956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DE5DD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272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272CA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381956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DE5DD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2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1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7.xml"/><Relationship Id="rId18" Type="http://schemas.openxmlformats.org/officeDocument/2006/relationships/chart" Target="charts/chart12.xml"/><Relationship Id="rId26" Type="http://schemas.openxmlformats.org/officeDocument/2006/relationships/chart" Target="charts/chart20.xml"/><Relationship Id="rId39" Type="http://schemas.openxmlformats.org/officeDocument/2006/relationships/chart" Target="charts/chart33.xml"/><Relationship Id="rId3" Type="http://schemas.microsoft.com/office/2007/relationships/stylesWithEffects" Target="stylesWithEffects.xml"/><Relationship Id="rId21" Type="http://schemas.openxmlformats.org/officeDocument/2006/relationships/chart" Target="charts/chart15.xml"/><Relationship Id="rId34" Type="http://schemas.openxmlformats.org/officeDocument/2006/relationships/chart" Target="charts/chart28.xml"/><Relationship Id="rId42" Type="http://schemas.openxmlformats.org/officeDocument/2006/relationships/chart" Target="charts/chart36.xml"/><Relationship Id="rId47" Type="http://schemas.openxmlformats.org/officeDocument/2006/relationships/hyperlink" Target="http://www.upme.gov.co/GeneradorConsultas/Consulta_Balance.aspx?IdModulo=3" TargetMode="External"/><Relationship Id="rId7" Type="http://schemas.openxmlformats.org/officeDocument/2006/relationships/chart" Target="charts/chart2.xml"/><Relationship Id="rId12" Type="http://schemas.openxmlformats.org/officeDocument/2006/relationships/chart" Target="charts/chart6.xml"/><Relationship Id="rId17" Type="http://schemas.openxmlformats.org/officeDocument/2006/relationships/chart" Target="charts/chart11.xml"/><Relationship Id="rId25" Type="http://schemas.openxmlformats.org/officeDocument/2006/relationships/chart" Target="charts/chart19.xml"/><Relationship Id="rId33" Type="http://schemas.openxmlformats.org/officeDocument/2006/relationships/chart" Target="charts/chart27.xml"/><Relationship Id="rId38" Type="http://schemas.openxmlformats.org/officeDocument/2006/relationships/chart" Target="charts/chart32.xml"/><Relationship Id="rId46" Type="http://schemas.openxmlformats.org/officeDocument/2006/relationships/chart" Target="charts/chart40.xml"/><Relationship Id="rId2" Type="http://schemas.openxmlformats.org/officeDocument/2006/relationships/styles" Target="styles.xml"/><Relationship Id="rId16" Type="http://schemas.openxmlformats.org/officeDocument/2006/relationships/chart" Target="charts/chart10.xml"/><Relationship Id="rId20" Type="http://schemas.openxmlformats.org/officeDocument/2006/relationships/chart" Target="charts/chart14.xml"/><Relationship Id="rId29" Type="http://schemas.openxmlformats.org/officeDocument/2006/relationships/chart" Target="charts/chart23.xml"/><Relationship Id="rId41" Type="http://schemas.openxmlformats.org/officeDocument/2006/relationships/chart" Target="charts/chart35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11" Type="http://schemas.openxmlformats.org/officeDocument/2006/relationships/chart" Target="charts/chart5.xml"/><Relationship Id="rId24" Type="http://schemas.openxmlformats.org/officeDocument/2006/relationships/chart" Target="charts/chart18.xml"/><Relationship Id="rId32" Type="http://schemas.openxmlformats.org/officeDocument/2006/relationships/chart" Target="charts/chart26.xml"/><Relationship Id="rId37" Type="http://schemas.openxmlformats.org/officeDocument/2006/relationships/chart" Target="charts/chart31.xml"/><Relationship Id="rId40" Type="http://schemas.openxmlformats.org/officeDocument/2006/relationships/chart" Target="charts/chart34.xml"/><Relationship Id="rId45" Type="http://schemas.openxmlformats.org/officeDocument/2006/relationships/chart" Target="charts/chart39.xml"/><Relationship Id="rId5" Type="http://schemas.openxmlformats.org/officeDocument/2006/relationships/webSettings" Target="webSettings.xml"/><Relationship Id="rId15" Type="http://schemas.openxmlformats.org/officeDocument/2006/relationships/chart" Target="charts/chart9.xml"/><Relationship Id="rId23" Type="http://schemas.openxmlformats.org/officeDocument/2006/relationships/chart" Target="charts/chart17.xml"/><Relationship Id="rId28" Type="http://schemas.openxmlformats.org/officeDocument/2006/relationships/chart" Target="charts/chart22.xml"/><Relationship Id="rId36" Type="http://schemas.openxmlformats.org/officeDocument/2006/relationships/chart" Target="charts/chart30.xml"/><Relationship Id="rId49" Type="http://schemas.openxmlformats.org/officeDocument/2006/relationships/theme" Target="theme/theme1.xml"/><Relationship Id="rId10" Type="http://schemas.openxmlformats.org/officeDocument/2006/relationships/chart" Target="charts/chart4.xml"/><Relationship Id="rId19" Type="http://schemas.openxmlformats.org/officeDocument/2006/relationships/chart" Target="charts/chart13.xml"/><Relationship Id="rId31" Type="http://schemas.openxmlformats.org/officeDocument/2006/relationships/chart" Target="charts/chart25.xml"/><Relationship Id="rId44" Type="http://schemas.openxmlformats.org/officeDocument/2006/relationships/chart" Target="charts/chart38.xml"/><Relationship Id="rId4" Type="http://schemas.openxmlformats.org/officeDocument/2006/relationships/settings" Target="settings.xml"/><Relationship Id="rId9" Type="http://schemas.openxmlformats.org/officeDocument/2006/relationships/hyperlink" Target="http://www.andesco.org.co/site/assets/media/camara/energia/Documentos/Informe_Final_PROURE_Plan_de_accion_2010-2015.pdf" TargetMode="External"/><Relationship Id="rId14" Type="http://schemas.openxmlformats.org/officeDocument/2006/relationships/chart" Target="charts/chart8.xml"/><Relationship Id="rId22" Type="http://schemas.openxmlformats.org/officeDocument/2006/relationships/chart" Target="charts/chart16.xml"/><Relationship Id="rId27" Type="http://schemas.openxmlformats.org/officeDocument/2006/relationships/chart" Target="charts/chart21.xml"/><Relationship Id="rId30" Type="http://schemas.openxmlformats.org/officeDocument/2006/relationships/chart" Target="charts/chart24.xml"/><Relationship Id="rId35" Type="http://schemas.openxmlformats.org/officeDocument/2006/relationships/chart" Target="charts/chart29.xml"/><Relationship Id="rId43" Type="http://schemas.openxmlformats.org/officeDocument/2006/relationships/chart" Target="charts/chart37.xml"/><Relationship Id="rId48" Type="http://schemas.openxmlformats.org/officeDocument/2006/relationships/fontTable" Target="fontTable.xml"/><Relationship Id="rId8" Type="http://schemas.openxmlformats.org/officeDocument/2006/relationships/chart" Target="charts/chart3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Hoja_de_c_lculo_de_Microsoft_Excel1.xlsx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Hoja_de_c_lculo_de_Microsoft_Excel10.xlsx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Hoja_de_c_lculo_de_Microsoft_Excel11.xlsx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Hoja_de_c_lculo_de_Microsoft_Excel12.xlsx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Hoja_de_c_lculo_de_Microsoft_Excel13.xlsx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Hoja_de_c_lculo_de_Microsoft_Excel14.xlsx"/></Relationships>
</file>

<file path=word/charts/_rels/chart1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Hoja_de_c_lculo_de_Microsoft_Excel15.xlsx"/></Relationships>
</file>

<file path=word/charts/_rels/chart1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Hoja_de_c_lculo_de_Microsoft_Excel16.xlsx"/></Relationships>
</file>

<file path=word/charts/_rels/chart1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Hoja_de_c_lculo_de_Microsoft_Excel17.xlsx"/></Relationships>
</file>

<file path=word/charts/_rels/chart1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Hoja_de_c_lculo_de_Microsoft_Excel18.xlsx"/></Relationships>
</file>

<file path=word/charts/_rels/chart1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Hoja_de_c_lculo_de_Microsoft_Excel19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Hoja_de_c_lculo_de_Microsoft_Excel2.xlsx"/></Relationships>
</file>

<file path=word/charts/_rels/chart2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Hoja_de_c_lculo_de_Microsoft_Excel20.xlsx"/></Relationships>
</file>

<file path=word/charts/_rels/chart2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Hoja_de_c_lculo_de_Microsoft_Excel21.xlsx"/></Relationships>
</file>

<file path=word/charts/_rels/chart2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Hoja_de_c_lculo_de_Microsoft_Excel22.xlsx"/></Relationships>
</file>

<file path=word/charts/_rels/chart2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Hoja_de_c_lculo_de_Microsoft_Excel23.xlsx"/></Relationships>
</file>

<file path=word/charts/_rels/chart2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Hoja_de_c_lculo_de_Microsoft_Excel24.xlsx"/></Relationships>
</file>

<file path=word/charts/_rels/chart2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Hoja_de_c_lculo_de_Microsoft_Excel25.xlsx"/></Relationships>
</file>

<file path=word/charts/_rels/chart2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Hoja_de_c_lculo_de_Microsoft_Excel26.xlsx"/></Relationships>
</file>

<file path=word/charts/_rels/chart2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Hoja_de_c_lculo_de_Microsoft_Excel27.xlsx"/></Relationships>
</file>

<file path=word/charts/_rels/chart2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Hoja_de_c_lculo_de_Microsoft_Excel28.xlsx"/></Relationships>
</file>

<file path=word/charts/_rels/chart2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Hoja_de_c_lculo_de_Microsoft_Excel29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Hoja_de_c_lculo_de_Microsoft_Excel3.xlsx"/></Relationships>
</file>

<file path=word/charts/_rels/chart3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Hoja_de_c_lculo_de_Microsoft_Excel30.xlsx"/></Relationships>
</file>

<file path=word/charts/_rels/chart3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Hoja_de_c_lculo_de_Microsoft_Excel31.xlsx"/></Relationships>
</file>

<file path=word/charts/_rels/chart3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Hoja_de_c_lculo_de_Microsoft_Excel32.xlsx"/></Relationships>
</file>

<file path=word/charts/_rels/chart3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Hoja_de_c_lculo_de_Microsoft_Excel33.xlsx"/></Relationships>
</file>

<file path=word/charts/_rels/chart3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Hoja_de_c_lculo_de_Microsoft_Excel34.xlsx"/></Relationships>
</file>

<file path=word/charts/_rels/chart3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Hoja_de_c_lculo_de_Microsoft_Excel35.xlsx"/></Relationships>
</file>

<file path=word/charts/_rels/chart3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Hoja_de_c_lculo_de_Microsoft_Excel36.xlsx"/></Relationships>
</file>

<file path=word/charts/_rels/chart3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Hoja_de_c_lculo_de_Microsoft_Excel37.xlsx"/></Relationships>
</file>

<file path=word/charts/_rels/chart3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Hoja_de_c_lculo_de_Microsoft_Excel38.xlsx"/></Relationships>
</file>

<file path=word/charts/_rels/chart3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Hoja_de_c_lculo_de_Microsoft_Excel39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Hoja_de_c_lculo_de_Microsoft_Excel4.xlsx"/></Relationships>
</file>

<file path=word/charts/_rels/chart4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Hoja_de_c_lculo_de_Microsoft_Excel40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Hoja_de_c_lculo_de_Microsoft_Excel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Hoja_de_c_lculo_de_Microsoft_Excel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Hoja_de_c_lculo_de_Microsoft_Excel7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Hoja_de_c_lculo_de_Microsoft_Excel8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Hoja_de_c_lculo_de_Microsoft_Excel9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CO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Energías Primarias</c:v>
                </c:pt>
              </c:strCache>
            </c:strRef>
          </c:tx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50.8%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1"/>
              <c:showBubbleSize val="0"/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31.5%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1"/>
              <c:showBubbleSize val="0"/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8.2%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1"/>
              <c:showBubbleSize val="0"/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4.8%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1"/>
              <c:showBubbleSize val="0"/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2.3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1"/>
              <c:showBubbleSize val="0"/>
            </c:dLbl>
            <c:dLbl>
              <c:idx val="5"/>
              <c:tx>
                <c:rich>
                  <a:bodyPr/>
                  <a:lstStyle/>
                  <a:p>
                    <a:r>
                      <a:rPr lang="en-US"/>
                      <a:t>2.1%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1"/>
              <c:showBubbleSize val="0"/>
            </c:dLbl>
            <c:dLbl>
              <c:idx val="6"/>
              <c:tx>
                <c:rich>
                  <a:bodyPr/>
                  <a:lstStyle/>
                  <a:p>
                    <a:r>
                      <a:rPr lang="en-US"/>
                      <a:t>0.3%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1"/>
              <c:showBubbleSize val="0"/>
            </c:dLbl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Hoja1!$A$2:$A$8</c:f>
              <c:strCache>
                <c:ptCount val="7"/>
                <c:pt idx="0">
                  <c:v>Carbón Mineral</c:v>
                </c:pt>
                <c:pt idx="1">
                  <c:v>Petroleo</c:v>
                </c:pt>
                <c:pt idx="2">
                  <c:v>Gas Natural</c:v>
                </c:pt>
                <c:pt idx="3">
                  <c:v>Hidroenergía</c:v>
                </c:pt>
                <c:pt idx="4">
                  <c:v>Leña</c:v>
                </c:pt>
                <c:pt idx="5">
                  <c:v>Babazo</c:v>
                </c:pt>
                <c:pt idx="6">
                  <c:v>Recuperación</c:v>
                </c:pt>
              </c:strCache>
            </c:strRef>
          </c:cat>
          <c:val>
            <c:numRef>
              <c:f>Hoja1!$B$2:$B$8</c:f>
              <c:numCache>
                <c:formatCode>General</c:formatCode>
                <c:ptCount val="7"/>
                <c:pt idx="0">
                  <c:v>50.8</c:v>
                </c:pt>
                <c:pt idx="1">
                  <c:v>31.5</c:v>
                </c:pt>
                <c:pt idx="2">
                  <c:v>8.2000000000000011</c:v>
                </c:pt>
                <c:pt idx="3">
                  <c:v>4.8</c:v>
                </c:pt>
                <c:pt idx="4">
                  <c:v>2.2999999999999998</c:v>
                </c:pt>
                <c:pt idx="5">
                  <c:v>2.1</c:v>
                </c:pt>
                <c:pt idx="6">
                  <c:v>0.30000000000000032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</c:plotArea>
    <c:legend>
      <c:legendPos val="t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CO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s-CO"/>
              <a:t>Químicos</a:t>
            </a:r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Ventas</c:v>
                </c:pt>
              </c:strCache>
            </c:strRef>
          </c:tx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Hoja1!$A$2:$A$8</c:f>
              <c:strCache>
                <c:ptCount val="7"/>
                <c:pt idx="0">
                  <c:v>BZ</c:v>
                </c:pt>
                <c:pt idx="1">
                  <c:v>CM</c:v>
                </c:pt>
                <c:pt idx="2">
                  <c:v>GN</c:v>
                </c:pt>
                <c:pt idx="3">
                  <c:v>HE</c:v>
                </c:pt>
                <c:pt idx="4">
                  <c:v>LE</c:v>
                </c:pt>
                <c:pt idx="5">
                  <c:v>PT</c:v>
                </c:pt>
                <c:pt idx="6">
                  <c:v>RC</c:v>
                </c:pt>
              </c:strCache>
            </c:strRef>
          </c:cat>
          <c:val>
            <c:numRef>
              <c:f>Hoja1!$B$2:$B$8</c:f>
              <c:numCache>
                <c:formatCode>#,##0</c:formatCode>
                <c:ptCount val="7"/>
                <c:pt idx="1">
                  <c:v>2425</c:v>
                </c:pt>
                <c:pt idx="2">
                  <c:v>34122</c:v>
                </c:pt>
                <c:pt idx="5" formatCode="General">
                  <c:v>569</c:v>
                </c:pt>
                <c:pt idx="6" formatCode="General">
                  <c:v>870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</c:plotArea>
    <c:legend>
      <c:legendPos val="t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CO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s-CO"/>
              <a:t>Cemento</a:t>
            </a:r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Ventas</c:v>
                </c:pt>
              </c:strCache>
            </c:strRef>
          </c:tx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Hoja1!$A$2:$A$8</c:f>
              <c:strCache>
                <c:ptCount val="7"/>
                <c:pt idx="0">
                  <c:v>BZ</c:v>
                </c:pt>
                <c:pt idx="1">
                  <c:v>CM</c:v>
                </c:pt>
                <c:pt idx="2">
                  <c:v>GN</c:v>
                </c:pt>
                <c:pt idx="3">
                  <c:v>HE</c:v>
                </c:pt>
                <c:pt idx="4">
                  <c:v>LE</c:v>
                </c:pt>
                <c:pt idx="5">
                  <c:v>PT</c:v>
                </c:pt>
                <c:pt idx="6">
                  <c:v>RC</c:v>
                </c:pt>
              </c:strCache>
            </c:strRef>
          </c:cat>
          <c:val>
            <c:numRef>
              <c:f>Hoja1!$B$2:$B$8</c:f>
              <c:numCache>
                <c:formatCode>#,##0</c:formatCode>
                <c:ptCount val="7"/>
                <c:pt idx="1">
                  <c:v>14518</c:v>
                </c:pt>
                <c:pt idx="2">
                  <c:v>30172</c:v>
                </c:pt>
                <c:pt idx="5" formatCode="General">
                  <c:v>113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</c:plotArea>
    <c:legend>
      <c:legendPos val="t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CO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s-CO"/>
              <a:t>Piedras,</a:t>
            </a:r>
            <a:r>
              <a:rPr lang="es-CO" baseline="0"/>
              <a:t> vidrio y Cerámicas</a:t>
            </a:r>
            <a:endParaRPr lang="es-CO"/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Ventas</c:v>
                </c:pt>
              </c:strCache>
            </c:strRef>
          </c:tx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Hoja1!$A$2:$A$8</c:f>
              <c:strCache>
                <c:ptCount val="7"/>
                <c:pt idx="0">
                  <c:v>BZ</c:v>
                </c:pt>
                <c:pt idx="1">
                  <c:v>CM</c:v>
                </c:pt>
                <c:pt idx="2">
                  <c:v>GN</c:v>
                </c:pt>
                <c:pt idx="3">
                  <c:v>HE</c:v>
                </c:pt>
                <c:pt idx="4">
                  <c:v>LE</c:v>
                </c:pt>
                <c:pt idx="5">
                  <c:v>PT</c:v>
                </c:pt>
                <c:pt idx="6">
                  <c:v>RC</c:v>
                </c:pt>
              </c:strCache>
            </c:strRef>
          </c:cat>
          <c:val>
            <c:numRef>
              <c:f>Hoja1!$B$2:$B$8</c:f>
              <c:numCache>
                <c:formatCode>#,##0</c:formatCode>
                <c:ptCount val="7"/>
                <c:pt idx="1">
                  <c:v>2375</c:v>
                </c:pt>
                <c:pt idx="2" formatCode="General">
                  <c:v>814</c:v>
                </c:pt>
                <c:pt idx="4" formatCode="General">
                  <c:v>44</c:v>
                </c:pt>
                <c:pt idx="5" formatCode="General">
                  <c:v>222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</c:plotArea>
    <c:legend>
      <c:legendPos val="t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CO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s-CO"/>
              <a:t>Hierro, Acero y no Ferrosos</a:t>
            </a:r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Ventas</c:v>
                </c:pt>
              </c:strCache>
            </c:strRef>
          </c:tx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Hoja1!$A$2:$A$8</c:f>
              <c:strCache>
                <c:ptCount val="7"/>
                <c:pt idx="0">
                  <c:v>BZ</c:v>
                </c:pt>
                <c:pt idx="1">
                  <c:v>CM</c:v>
                </c:pt>
                <c:pt idx="2">
                  <c:v>GN</c:v>
                </c:pt>
                <c:pt idx="3">
                  <c:v>HE</c:v>
                </c:pt>
                <c:pt idx="4">
                  <c:v>LE</c:v>
                </c:pt>
                <c:pt idx="5">
                  <c:v>PT</c:v>
                </c:pt>
                <c:pt idx="6">
                  <c:v>RC</c:v>
                </c:pt>
              </c:strCache>
            </c:strRef>
          </c:cat>
          <c:val>
            <c:numRef>
              <c:f>Hoja1!$B$2:$B$8</c:f>
              <c:numCache>
                <c:formatCode>#,##0</c:formatCode>
                <c:ptCount val="7"/>
                <c:pt idx="1">
                  <c:v>7774</c:v>
                </c:pt>
                <c:pt idx="2">
                  <c:v>2251</c:v>
                </c:pt>
                <c:pt idx="4" formatCode="General">
                  <c:v>3</c:v>
                </c:pt>
                <c:pt idx="5" formatCode="General">
                  <c:v>360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</c:plotArea>
    <c:legend>
      <c:legendPos val="t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CO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s-CO"/>
              <a:t>Maquinaria y Equipos</a:t>
            </a:r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Ventas</c:v>
                </c:pt>
              </c:strCache>
            </c:strRef>
          </c:tx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Hoja1!$A$2:$A$8</c:f>
              <c:strCache>
                <c:ptCount val="7"/>
                <c:pt idx="0">
                  <c:v>BZ</c:v>
                </c:pt>
                <c:pt idx="1">
                  <c:v>CM</c:v>
                </c:pt>
                <c:pt idx="2">
                  <c:v>GN</c:v>
                </c:pt>
                <c:pt idx="3">
                  <c:v>HE</c:v>
                </c:pt>
                <c:pt idx="4">
                  <c:v>LE</c:v>
                </c:pt>
                <c:pt idx="5">
                  <c:v>PT</c:v>
                </c:pt>
                <c:pt idx="6">
                  <c:v>RC</c:v>
                </c:pt>
              </c:strCache>
            </c:strRef>
          </c:cat>
          <c:val>
            <c:numRef>
              <c:f>Hoja1!$B$2:$B$8</c:f>
              <c:numCache>
                <c:formatCode>General</c:formatCode>
                <c:ptCount val="7"/>
                <c:pt idx="1">
                  <c:v>4</c:v>
                </c:pt>
                <c:pt idx="2">
                  <c:v>349</c:v>
                </c:pt>
                <c:pt idx="4">
                  <c:v>3</c:v>
                </c:pt>
                <c:pt idx="5">
                  <c:v>504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</c:plotArea>
    <c:legend>
      <c:legendPos val="t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CO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s-CO"/>
              <a:t>Otros</a:t>
            </a:r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Ventas</c:v>
                </c:pt>
              </c:strCache>
            </c:strRef>
          </c:tx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Hoja1!$A$2:$A$8</c:f>
              <c:strCache>
                <c:ptCount val="7"/>
                <c:pt idx="0">
                  <c:v>BZ</c:v>
                </c:pt>
                <c:pt idx="1">
                  <c:v>CM</c:v>
                </c:pt>
                <c:pt idx="2">
                  <c:v>GN</c:v>
                </c:pt>
                <c:pt idx="3">
                  <c:v>HE</c:v>
                </c:pt>
                <c:pt idx="4">
                  <c:v>LE</c:v>
                </c:pt>
                <c:pt idx="5">
                  <c:v>PT</c:v>
                </c:pt>
                <c:pt idx="6">
                  <c:v>RC</c:v>
                </c:pt>
              </c:strCache>
            </c:strRef>
          </c:cat>
          <c:val>
            <c:numRef>
              <c:f>Hoja1!$B$2:$B$8</c:f>
              <c:numCache>
                <c:formatCode>General</c:formatCode>
                <c:ptCount val="7"/>
                <c:pt idx="1">
                  <c:v>2</c:v>
                </c:pt>
                <c:pt idx="2" formatCode="#,##0">
                  <c:v>2041</c:v>
                </c:pt>
                <c:pt idx="5">
                  <c:v>364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</c:plotArea>
    <c:legend>
      <c:legendPos val="t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CO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s-CO"/>
              <a:t>CONSUMO TOTAL</a:t>
            </a:r>
            <a:r>
              <a:rPr lang="es-CO" baseline="0"/>
              <a:t> DE ENERGÍA SECUNDARIA</a:t>
            </a:r>
          </a:p>
          <a:p>
            <a:pPr>
              <a:defRPr/>
            </a:pPr>
            <a:r>
              <a:rPr lang="es-CO" baseline="0"/>
              <a:t>SECTOR: INDUSTRIA</a:t>
            </a:r>
            <a:endParaRPr lang="es-CO"/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Ventas</c:v>
                </c:pt>
              </c:strCache>
            </c:strRef>
          </c:tx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Hoja1!$A$2:$A$14</c:f>
              <c:strCache>
                <c:ptCount val="13"/>
                <c:pt idx="0">
                  <c:v>AC</c:v>
                </c:pt>
                <c:pt idx="1">
                  <c:v>BI</c:v>
                </c:pt>
                <c:pt idx="2">
                  <c:v>CL</c:v>
                </c:pt>
                <c:pt idx="3">
                  <c:v>CQ</c:v>
                </c:pt>
                <c:pt idx="4">
                  <c:v>DO</c:v>
                </c:pt>
                <c:pt idx="5">
                  <c:v>EE</c:v>
                </c:pt>
                <c:pt idx="6">
                  <c:v>FO</c:v>
                </c:pt>
                <c:pt idx="7">
                  <c:v>GI</c:v>
                </c:pt>
                <c:pt idx="8">
                  <c:v>GL</c:v>
                </c:pt>
                <c:pt idx="9">
                  <c:v>GM</c:v>
                </c:pt>
                <c:pt idx="10">
                  <c:v>GR</c:v>
                </c:pt>
                <c:pt idx="11">
                  <c:v>KJ</c:v>
                </c:pt>
                <c:pt idx="12">
                  <c:v>NE</c:v>
                </c:pt>
              </c:strCache>
            </c:strRef>
          </c:cat>
          <c:val>
            <c:numRef>
              <c:f>Hoja1!$B$2:$B$14</c:f>
              <c:numCache>
                <c:formatCode>General</c:formatCode>
                <c:ptCount val="13"/>
                <c:pt idx="2">
                  <c:v>408</c:v>
                </c:pt>
                <c:pt idx="3">
                  <c:v>883</c:v>
                </c:pt>
                <c:pt idx="4" formatCode="#,##0">
                  <c:v>6572</c:v>
                </c:pt>
                <c:pt idx="5" formatCode="#,##0">
                  <c:v>51147</c:v>
                </c:pt>
                <c:pt idx="6">
                  <c:v>983</c:v>
                </c:pt>
                <c:pt idx="7" formatCode="#,##0">
                  <c:v>1901</c:v>
                </c:pt>
                <c:pt idx="8" formatCode="#,##0">
                  <c:v>2602</c:v>
                </c:pt>
                <c:pt idx="11" formatCode="#,##0">
                  <c:v>1109</c:v>
                </c:pt>
                <c:pt idx="12">
                  <c:v>433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</c:plotArea>
    <c:legend>
      <c:legendPos val="t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CO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s-CO"/>
              <a:t>Alimentos Bebidas y Tabaco</a:t>
            </a:r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Ventas</c:v>
                </c:pt>
              </c:strCache>
            </c:strRef>
          </c:tx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Hoja1!$A$2:$A$14</c:f>
              <c:strCache>
                <c:ptCount val="13"/>
                <c:pt idx="0">
                  <c:v>AC</c:v>
                </c:pt>
                <c:pt idx="1">
                  <c:v>BI</c:v>
                </c:pt>
                <c:pt idx="2">
                  <c:v>CL</c:v>
                </c:pt>
                <c:pt idx="3">
                  <c:v>CQ</c:v>
                </c:pt>
                <c:pt idx="4">
                  <c:v>DO</c:v>
                </c:pt>
                <c:pt idx="5">
                  <c:v>EE</c:v>
                </c:pt>
                <c:pt idx="6">
                  <c:v>FO</c:v>
                </c:pt>
                <c:pt idx="7">
                  <c:v>GI</c:v>
                </c:pt>
                <c:pt idx="8">
                  <c:v>GL</c:v>
                </c:pt>
                <c:pt idx="9">
                  <c:v>GM</c:v>
                </c:pt>
                <c:pt idx="10">
                  <c:v>GR</c:v>
                </c:pt>
                <c:pt idx="11">
                  <c:v>KJ</c:v>
                </c:pt>
                <c:pt idx="12">
                  <c:v>NE</c:v>
                </c:pt>
              </c:strCache>
            </c:strRef>
          </c:cat>
          <c:val>
            <c:numRef>
              <c:f>Hoja1!$B$2:$B$14</c:f>
              <c:numCache>
                <c:formatCode>General</c:formatCode>
                <c:ptCount val="13"/>
                <c:pt idx="4" formatCode="#,##0">
                  <c:v>1903</c:v>
                </c:pt>
                <c:pt idx="5" formatCode="#,##0">
                  <c:v>9542</c:v>
                </c:pt>
                <c:pt idx="6">
                  <c:v>93</c:v>
                </c:pt>
                <c:pt idx="8">
                  <c:v>745</c:v>
                </c:pt>
                <c:pt idx="11">
                  <c:v>66</c:v>
                </c:pt>
                <c:pt idx="12">
                  <c:v>86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</c:plotArea>
    <c:legend>
      <c:legendPos val="t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CO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s-CO"/>
              <a:t>Textil y Confecciones</a:t>
            </a:r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Ventas</c:v>
                </c:pt>
              </c:strCache>
            </c:strRef>
          </c:tx>
          <c:dLbls>
            <c:dLbl>
              <c:idx val="8"/>
              <c:layout>
                <c:manualLayout>
                  <c:x val="3.4629265091863583E-3"/>
                  <c:y val="-3.2287502523723108E-3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</c:dLbl>
            <c:dLbl>
              <c:idx val="11"/>
              <c:layout>
                <c:manualLayout>
                  <c:x val="6.8620589093030034E-3"/>
                  <c:y val="7.4966013863651832E-3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</c:dLbl>
            <c:dLbl>
              <c:idx val="12"/>
              <c:layout>
                <c:manualLayout>
                  <c:x val="4.5945428696412945E-2"/>
                  <c:y val="-5.9107611548556574E-3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</c:dLbl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Hoja1!$A$2:$A$14</c:f>
              <c:strCache>
                <c:ptCount val="13"/>
                <c:pt idx="0">
                  <c:v>AC</c:v>
                </c:pt>
                <c:pt idx="1">
                  <c:v>BI</c:v>
                </c:pt>
                <c:pt idx="2">
                  <c:v>CL</c:v>
                </c:pt>
                <c:pt idx="3">
                  <c:v>CQ</c:v>
                </c:pt>
                <c:pt idx="4">
                  <c:v>DO</c:v>
                </c:pt>
                <c:pt idx="5">
                  <c:v>EE</c:v>
                </c:pt>
                <c:pt idx="6">
                  <c:v>FO</c:v>
                </c:pt>
                <c:pt idx="7">
                  <c:v>GI</c:v>
                </c:pt>
                <c:pt idx="8">
                  <c:v>GL</c:v>
                </c:pt>
                <c:pt idx="9">
                  <c:v>GM</c:v>
                </c:pt>
                <c:pt idx="10">
                  <c:v>GR</c:v>
                </c:pt>
                <c:pt idx="11">
                  <c:v>KJ</c:v>
                </c:pt>
                <c:pt idx="12">
                  <c:v>NE</c:v>
                </c:pt>
              </c:strCache>
            </c:strRef>
          </c:cat>
          <c:val>
            <c:numRef>
              <c:f>Hoja1!$B$2:$B$14</c:f>
              <c:numCache>
                <c:formatCode>General</c:formatCode>
                <c:ptCount val="13"/>
                <c:pt idx="4">
                  <c:v>423</c:v>
                </c:pt>
                <c:pt idx="5" formatCode="#,##0">
                  <c:v>7172</c:v>
                </c:pt>
                <c:pt idx="6">
                  <c:v>38</c:v>
                </c:pt>
                <c:pt idx="8">
                  <c:v>176</c:v>
                </c:pt>
                <c:pt idx="11">
                  <c:v>78</c:v>
                </c:pt>
                <c:pt idx="12">
                  <c:v>12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</c:plotArea>
    <c:legend>
      <c:legendPos val="t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CO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s-CO"/>
              <a:t>Calzado y Cueros</a:t>
            </a:r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Ventas</c:v>
                </c:pt>
              </c:strCache>
            </c:strRef>
          </c:tx>
          <c:dLbls>
            <c:dLbl>
              <c:idx val="4"/>
              <c:layout>
                <c:manualLayout>
                  <c:x val="3.5402127365658245E-2"/>
                  <c:y val="1.6017693219819603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</c:dLbl>
            <c:dLbl>
              <c:idx val="6"/>
              <c:layout>
                <c:manualLayout>
                  <c:x val="-2.8233549753649216E-2"/>
                  <c:y val="1.6526106825479317E-3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</c:dLbl>
            <c:dLbl>
              <c:idx val="8"/>
              <c:layout>
                <c:manualLayout>
                  <c:x val="-5.4501082101579409E-3"/>
                  <c:y val="-1.424464073970449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</c:dLbl>
            <c:dLbl>
              <c:idx val="11"/>
              <c:layout>
                <c:manualLayout>
                  <c:x val="3.7261500207210994E-2"/>
                  <c:y val="-3.3738358847276072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</c:dLbl>
            <c:dLbl>
              <c:idx val="12"/>
              <c:layout>
                <c:manualLayout>
                  <c:x val="7.5138555049039921E-2"/>
                  <c:y val="-1.9898210693206509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</c:dLbl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Hoja1!$A$2:$A$14</c:f>
              <c:strCache>
                <c:ptCount val="13"/>
                <c:pt idx="0">
                  <c:v>AC</c:v>
                </c:pt>
                <c:pt idx="1">
                  <c:v>BI</c:v>
                </c:pt>
                <c:pt idx="2">
                  <c:v>CL</c:v>
                </c:pt>
                <c:pt idx="3">
                  <c:v>CQ</c:v>
                </c:pt>
                <c:pt idx="4">
                  <c:v>DO</c:v>
                </c:pt>
                <c:pt idx="5">
                  <c:v>EE</c:v>
                </c:pt>
                <c:pt idx="6">
                  <c:v>FO</c:v>
                </c:pt>
                <c:pt idx="7">
                  <c:v>GI</c:v>
                </c:pt>
                <c:pt idx="8">
                  <c:v>GL</c:v>
                </c:pt>
                <c:pt idx="9">
                  <c:v>GM</c:v>
                </c:pt>
                <c:pt idx="10">
                  <c:v>GR</c:v>
                </c:pt>
                <c:pt idx="11">
                  <c:v>KJ</c:v>
                </c:pt>
                <c:pt idx="12">
                  <c:v>NE</c:v>
                </c:pt>
              </c:strCache>
            </c:strRef>
          </c:cat>
          <c:val>
            <c:numRef>
              <c:f>Hoja1!$B$2:$B$14</c:f>
              <c:numCache>
                <c:formatCode>General</c:formatCode>
                <c:ptCount val="13"/>
                <c:pt idx="4">
                  <c:v>12</c:v>
                </c:pt>
                <c:pt idx="5">
                  <c:v>643</c:v>
                </c:pt>
                <c:pt idx="6">
                  <c:v>5</c:v>
                </c:pt>
                <c:pt idx="8">
                  <c:v>6</c:v>
                </c:pt>
                <c:pt idx="11">
                  <c:v>2</c:v>
                </c:pt>
                <c:pt idx="12">
                  <c:v>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</c:plotArea>
    <c:legend>
      <c:legendPos val="t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CO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Energías Secundarias</c:v>
                </c:pt>
              </c:strCache>
            </c:strRef>
          </c:tx>
          <c:dLbls>
            <c:showLegendKey val="0"/>
            <c:showVal val="0"/>
            <c:showCatName val="1"/>
            <c:showSerName val="0"/>
            <c:showPercent val="1"/>
            <c:showBubbleSize val="0"/>
            <c:showLeaderLines val="1"/>
          </c:dLbls>
          <c:cat>
            <c:strRef>
              <c:f>Hoja1!$A$2:$A$4</c:f>
              <c:strCache>
                <c:ptCount val="3"/>
                <c:pt idx="0">
                  <c:v>Energia Eléctrica</c:v>
                </c:pt>
                <c:pt idx="1">
                  <c:v>Disel Oila</c:v>
                </c:pt>
                <c:pt idx="2">
                  <c:v>Derivados del petroleo</c:v>
                </c:pt>
              </c:strCache>
            </c:strRef>
          </c:cat>
          <c:val>
            <c:numRef>
              <c:f>Hoja1!$B$2:$B$4</c:f>
              <c:numCache>
                <c:formatCode>General</c:formatCode>
                <c:ptCount val="3"/>
                <c:pt idx="0">
                  <c:v>23.4</c:v>
                </c:pt>
                <c:pt idx="1">
                  <c:v>21.7</c:v>
                </c:pt>
                <c:pt idx="2">
                  <c:v>54.9</c:v>
                </c:pt>
              </c:numCache>
            </c:numRef>
          </c:val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  <c:firstSliceAng val="0"/>
      </c:pieChart>
    </c:plotArea>
    <c:plotVisOnly val="1"/>
    <c:dispBlanksAs val="gap"/>
    <c:showDLblsOverMax val="0"/>
  </c:chart>
  <c:externalData r:id="rId1">
    <c:autoUpdate val="0"/>
  </c:externalData>
</c:chartSpace>
</file>

<file path=word/charts/chart2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CO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s-CO"/>
              <a:t>Maderas y Muebles</a:t>
            </a:r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Ventas</c:v>
                </c:pt>
              </c:strCache>
            </c:strRef>
          </c:tx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Hoja1!$A$2:$A$14</c:f>
              <c:strCache>
                <c:ptCount val="13"/>
                <c:pt idx="0">
                  <c:v>AC</c:v>
                </c:pt>
                <c:pt idx="1">
                  <c:v>BI</c:v>
                </c:pt>
                <c:pt idx="2">
                  <c:v>CL</c:v>
                </c:pt>
                <c:pt idx="3">
                  <c:v>CQ</c:v>
                </c:pt>
                <c:pt idx="4">
                  <c:v>DO</c:v>
                </c:pt>
                <c:pt idx="5">
                  <c:v>EE</c:v>
                </c:pt>
                <c:pt idx="6">
                  <c:v>FO</c:v>
                </c:pt>
                <c:pt idx="7">
                  <c:v>GI</c:v>
                </c:pt>
                <c:pt idx="8">
                  <c:v>GL</c:v>
                </c:pt>
                <c:pt idx="9">
                  <c:v>GM</c:v>
                </c:pt>
                <c:pt idx="10">
                  <c:v>GR</c:v>
                </c:pt>
                <c:pt idx="11">
                  <c:v>KJ</c:v>
                </c:pt>
                <c:pt idx="12">
                  <c:v>NE</c:v>
                </c:pt>
              </c:strCache>
            </c:strRef>
          </c:cat>
          <c:val>
            <c:numRef>
              <c:f>Hoja1!$B$2:$B$14</c:f>
              <c:numCache>
                <c:formatCode>General</c:formatCode>
                <c:ptCount val="13"/>
                <c:pt idx="4">
                  <c:v>25</c:v>
                </c:pt>
                <c:pt idx="5">
                  <c:v>742</c:v>
                </c:pt>
                <c:pt idx="11">
                  <c:v>22</c:v>
                </c:pt>
                <c:pt idx="12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</c:plotArea>
    <c:legend>
      <c:legendPos val="t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CO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s-CO"/>
              <a:t>Papel e Imprenta</a:t>
            </a:r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Ventas</c:v>
                </c:pt>
              </c:strCache>
            </c:strRef>
          </c:tx>
          <c:dLbls>
            <c:dLbl>
              <c:idx val="4"/>
              <c:layout>
                <c:manualLayout>
                  <c:x val="2.4315033537474481E-2"/>
                  <c:y val="-6.3406120626674327E-3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</c:dLbl>
            <c:dLbl>
              <c:idx val="11"/>
              <c:layout>
                <c:manualLayout>
                  <c:x val="-4.5914442986293394E-2"/>
                  <c:y val="-3.2340287360987092E-3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</c:dLbl>
            <c:dLbl>
              <c:idx val="12"/>
              <c:layout>
                <c:manualLayout>
                  <c:x val="-7.1387430737824544E-3"/>
                  <c:y val="-1.2583001867034663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</c:dLbl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Hoja1!$A$2:$A$14</c:f>
              <c:strCache>
                <c:ptCount val="13"/>
                <c:pt idx="0">
                  <c:v>AC</c:v>
                </c:pt>
                <c:pt idx="1">
                  <c:v>BI</c:v>
                </c:pt>
                <c:pt idx="2">
                  <c:v>CL</c:v>
                </c:pt>
                <c:pt idx="3">
                  <c:v>CQ</c:v>
                </c:pt>
                <c:pt idx="4">
                  <c:v>DO</c:v>
                </c:pt>
                <c:pt idx="5">
                  <c:v>EE</c:v>
                </c:pt>
                <c:pt idx="6">
                  <c:v>FO</c:v>
                </c:pt>
                <c:pt idx="7">
                  <c:v>GI</c:v>
                </c:pt>
                <c:pt idx="8">
                  <c:v>GL</c:v>
                </c:pt>
                <c:pt idx="9">
                  <c:v>GM</c:v>
                </c:pt>
                <c:pt idx="10">
                  <c:v>GR</c:v>
                </c:pt>
                <c:pt idx="11">
                  <c:v>KJ</c:v>
                </c:pt>
                <c:pt idx="12">
                  <c:v>NE</c:v>
                </c:pt>
              </c:strCache>
            </c:strRef>
          </c:cat>
          <c:val>
            <c:numRef>
              <c:f>Hoja1!$B$2:$B$14</c:f>
              <c:numCache>
                <c:formatCode>General</c:formatCode>
                <c:ptCount val="13"/>
                <c:pt idx="4">
                  <c:v>93</c:v>
                </c:pt>
                <c:pt idx="5" formatCode="#,##0">
                  <c:v>4316</c:v>
                </c:pt>
                <c:pt idx="6">
                  <c:v>121</c:v>
                </c:pt>
                <c:pt idx="8">
                  <c:v>146</c:v>
                </c:pt>
                <c:pt idx="11">
                  <c:v>22</c:v>
                </c:pt>
                <c:pt idx="12">
                  <c:v>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</c:plotArea>
    <c:legend>
      <c:legendPos val="t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CO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s-CO"/>
              <a:t>Químicos</a:t>
            </a:r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Ventas</c:v>
                </c:pt>
              </c:strCache>
            </c:strRef>
          </c:tx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Hoja1!$A$2:$A$14</c:f>
              <c:strCache>
                <c:ptCount val="13"/>
                <c:pt idx="0">
                  <c:v>AC</c:v>
                </c:pt>
                <c:pt idx="1">
                  <c:v>BI</c:v>
                </c:pt>
                <c:pt idx="2">
                  <c:v>CL</c:v>
                </c:pt>
                <c:pt idx="3">
                  <c:v>CQ</c:v>
                </c:pt>
                <c:pt idx="4">
                  <c:v>DO</c:v>
                </c:pt>
                <c:pt idx="5">
                  <c:v>EE</c:v>
                </c:pt>
                <c:pt idx="6">
                  <c:v>FO</c:v>
                </c:pt>
                <c:pt idx="7">
                  <c:v>GI</c:v>
                </c:pt>
                <c:pt idx="8">
                  <c:v>GL</c:v>
                </c:pt>
                <c:pt idx="9">
                  <c:v>GM</c:v>
                </c:pt>
                <c:pt idx="10">
                  <c:v>GR</c:v>
                </c:pt>
                <c:pt idx="11">
                  <c:v>KJ</c:v>
                </c:pt>
                <c:pt idx="12">
                  <c:v>NE</c:v>
                </c:pt>
              </c:strCache>
            </c:strRef>
          </c:cat>
          <c:val>
            <c:numRef>
              <c:f>Hoja1!$B$2:$B$14</c:f>
              <c:numCache>
                <c:formatCode>General</c:formatCode>
                <c:ptCount val="13"/>
                <c:pt idx="2">
                  <c:v>408</c:v>
                </c:pt>
                <c:pt idx="3">
                  <c:v>50</c:v>
                </c:pt>
                <c:pt idx="4">
                  <c:v>700</c:v>
                </c:pt>
                <c:pt idx="5" formatCode="#,##0">
                  <c:v>8120</c:v>
                </c:pt>
                <c:pt idx="6">
                  <c:v>25</c:v>
                </c:pt>
                <c:pt idx="8">
                  <c:v>249</c:v>
                </c:pt>
                <c:pt idx="11">
                  <c:v>154</c:v>
                </c:pt>
                <c:pt idx="12">
                  <c:v>102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</c:plotArea>
    <c:legend>
      <c:legendPos val="t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CO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s-CO"/>
              <a:t>Cemento</a:t>
            </a:r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Ventas</c:v>
                </c:pt>
              </c:strCache>
            </c:strRef>
          </c:tx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Hoja1!$A$2:$A$14</c:f>
              <c:strCache>
                <c:ptCount val="13"/>
                <c:pt idx="0">
                  <c:v>AC</c:v>
                </c:pt>
                <c:pt idx="1">
                  <c:v>BI</c:v>
                </c:pt>
                <c:pt idx="2">
                  <c:v>CL</c:v>
                </c:pt>
                <c:pt idx="3">
                  <c:v>CQ</c:v>
                </c:pt>
                <c:pt idx="4">
                  <c:v>DO</c:v>
                </c:pt>
                <c:pt idx="5">
                  <c:v>EE</c:v>
                </c:pt>
                <c:pt idx="6">
                  <c:v>FO</c:v>
                </c:pt>
                <c:pt idx="7">
                  <c:v>GI</c:v>
                </c:pt>
                <c:pt idx="8">
                  <c:v>GL</c:v>
                </c:pt>
                <c:pt idx="9">
                  <c:v>GM</c:v>
                </c:pt>
                <c:pt idx="10">
                  <c:v>GR</c:v>
                </c:pt>
                <c:pt idx="11">
                  <c:v>KJ</c:v>
                </c:pt>
                <c:pt idx="12">
                  <c:v>NE</c:v>
                </c:pt>
              </c:strCache>
            </c:strRef>
          </c:cat>
          <c:val>
            <c:numRef>
              <c:f>Hoja1!$B$2:$B$14</c:f>
              <c:numCache>
                <c:formatCode>General</c:formatCode>
                <c:ptCount val="13"/>
                <c:pt idx="4">
                  <c:v>662</c:v>
                </c:pt>
                <c:pt idx="5" formatCode="#,##0">
                  <c:v>4821</c:v>
                </c:pt>
                <c:pt idx="6">
                  <c:v>7</c:v>
                </c:pt>
                <c:pt idx="11">
                  <c:v>11</c:v>
                </c:pt>
                <c:pt idx="12">
                  <c:v>49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</c:plotArea>
    <c:legend>
      <c:legendPos val="t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CO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s-CO"/>
              <a:t>Piedras, Vidrio y Cerámicas</a:t>
            </a:r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Ventas</c:v>
                </c:pt>
              </c:strCache>
            </c:strRef>
          </c:tx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Hoja1!$A$2:$A$14</c:f>
              <c:strCache>
                <c:ptCount val="13"/>
                <c:pt idx="0">
                  <c:v>AC</c:v>
                </c:pt>
                <c:pt idx="1">
                  <c:v>BI</c:v>
                </c:pt>
                <c:pt idx="2">
                  <c:v>CL</c:v>
                </c:pt>
                <c:pt idx="3">
                  <c:v>CQ</c:v>
                </c:pt>
                <c:pt idx="4">
                  <c:v>DO</c:v>
                </c:pt>
                <c:pt idx="5">
                  <c:v>EE</c:v>
                </c:pt>
                <c:pt idx="6">
                  <c:v>FO</c:v>
                </c:pt>
                <c:pt idx="7">
                  <c:v>GI</c:v>
                </c:pt>
                <c:pt idx="8">
                  <c:v>GL</c:v>
                </c:pt>
                <c:pt idx="9">
                  <c:v>GM</c:v>
                </c:pt>
                <c:pt idx="10">
                  <c:v>GR</c:v>
                </c:pt>
                <c:pt idx="11">
                  <c:v>KJ</c:v>
                </c:pt>
                <c:pt idx="12">
                  <c:v>NE</c:v>
                </c:pt>
              </c:strCache>
            </c:strRef>
          </c:cat>
          <c:val>
            <c:numRef>
              <c:f>Hoja1!$B$2:$B$14</c:f>
              <c:numCache>
                <c:formatCode>General</c:formatCode>
                <c:ptCount val="13"/>
                <c:pt idx="4">
                  <c:v>219</c:v>
                </c:pt>
                <c:pt idx="5" formatCode="#,##0">
                  <c:v>2161</c:v>
                </c:pt>
                <c:pt idx="8">
                  <c:v>733</c:v>
                </c:pt>
                <c:pt idx="11">
                  <c:v>631</c:v>
                </c:pt>
                <c:pt idx="12">
                  <c:v>12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</c:plotArea>
    <c:legend>
      <c:legendPos val="t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CO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s-CO"/>
              <a:t>Hierro,</a:t>
            </a:r>
            <a:r>
              <a:rPr lang="es-CO" baseline="0"/>
              <a:t> Acero y No Ferrosos</a:t>
            </a:r>
            <a:endParaRPr lang="es-CO"/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Ventas</c:v>
                </c:pt>
              </c:strCache>
            </c:strRef>
          </c:tx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Hoja1!$A$2:$A$14</c:f>
              <c:strCache>
                <c:ptCount val="13"/>
                <c:pt idx="0">
                  <c:v>AC</c:v>
                </c:pt>
                <c:pt idx="1">
                  <c:v>BI</c:v>
                </c:pt>
                <c:pt idx="2">
                  <c:v>CL</c:v>
                </c:pt>
                <c:pt idx="3">
                  <c:v>CQ</c:v>
                </c:pt>
                <c:pt idx="4">
                  <c:v>DO</c:v>
                </c:pt>
                <c:pt idx="5">
                  <c:v>EE</c:v>
                </c:pt>
                <c:pt idx="6">
                  <c:v>FO</c:v>
                </c:pt>
                <c:pt idx="7">
                  <c:v>GI</c:v>
                </c:pt>
                <c:pt idx="8">
                  <c:v>GL</c:v>
                </c:pt>
                <c:pt idx="9">
                  <c:v>GM</c:v>
                </c:pt>
                <c:pt idx="10">
                  <c:v>GR</c:v>
                </c:pt>
                <c:pt idx="11">
                  <c:v>KJ</c:v>
                </c:pt>
                <c:pt idx="12">
                  <c:v>NE</c:v>
                </c:pt>
              </c:strCache>
            </c:strRef>
          </c:cat>
          <c:val>
            <c:numRef>
              <c:f>Hoja1!$B$2:$B$14</c:f>
              <c:numCache>
                <c:formatCode>General</c:formatCode>
                <c:ptCount val="13"/>
                <c:pt idx="3">
                  <c:v>823</c:v>
                </c:pt>
                <c:pt idx="4">
                  <c:v>372</c:v>
                </c:pt>
                <c:pt idx="5" formatCode="#,##0">
                  <c:v>9411</c:v>
                </c:pt>
                <c:pt idx="7" formatCode="#,##0">
                  <c:v>1901</c:v>
                </c:pt>
                <c:pt idx="8">
                  <c:v>473</c:v>
                </c:pt>
                <c:pt idx="11">
                  <c:v>122</c:v>
                </c:pt>
                <c:pt idx="12">
                  <c:v>25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</c:plotArea>
    <c:legend>
      <c:legendPos val="t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CO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s-CO"/>
              <a:t>Otros</a:t>
            </a:r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Ventas</c:v>
                </c:pt>
              </c:strCache>
            </c:strRef>
          </c:tx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Hoja1!$A$2:$A$14</c:f>
              <c:strCache>
                <c:ptCount val="13"/>
                <c:pt idx="0">
                  <c:v>AC</c:v>
                </c:pt>
                <c:pt idx="1">
                  <c:v>BI</c:v>
                </c:pt>
                <c:pt idx="2">
                  <c:v>CL</c:v>
                </c:pt>
                <c:pt idx="3">
                  <c:v>CQ</c:v>
                </c:pt>
                <c:pt idx="4">
                  <c:v>DO</c:v>
                </c:pt>
                <c:pt idx="5">
                  <c:v>EE</c:v>
                </c:pt>
                <c:pt idx="6">
                  <c:v>FO</c:v>
                </c:pt>
                <c:pt idx="7">
                  <c:v>GI</c:v>
                </c:pt>
                <c:pt idx="8">
                  <c:v>GL</c:v>
                </c:pt>
                <c:pt idx="9">
                  <c:v>GM</c:v>
                </c:pt>
                <c:pt idx="10">
                  <c:v>GR</c:v>
                </c:pt>
                <c:pt idx="11">
                  <c:v>KJ</c:v>
                </c:pt>
                <c:pt idx="12">
                  <c:v>NE</c:v>
                </c:pt>
              </c:strCache>
            </c:strRef>
          </c:cat>
          <c:val>
            <c:numRef>
              <c:f>Hoja1!$B$2:$B$14</c:f>
              <c:numCache>
                <c:formatCode>General</c:formatCode>
                <c:ptCount val="13"/>
                <c:pt idx="4" formatCode="#,##0">
                  <c:v>1910</c:v>
                </c:pt>
                <c:pt idx="5" formatCode="#,##0">
                  <c:v>1931</c:v>
                </c:pt>
                <c:pt idx="12">
                  <c:v>111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</c:plotArea>
    <c:legend>
      <c:legendPos val="t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CO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lang="es-CO"/>
            </a:pPr>
            <a:r>
              <a:rPr lang="en-US"/>
              <a:t> Transporte-Energías Primarias - consumo</a:t>
            </a:r>
            <a:r>
              <a:rPr lang="en-US" baseline="0"/>
              <a:t> </a:t>
            </a:r>
            <a:r>
              <a:rPr lang="en-US"/>
              <a:t>GN</a:t>
            </a:r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Ventas</c:v>
                </c:pt>
              </c:strCache>
            </c:strRef>
          </c:tx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Hoja1!$A$2:$A$8</c:f>
              <c:strCache>
                <c:ptCount val="7"/>
                <c:pt idx="0">
                  <c:v>  ..Pasajeros Privado Interurbano</c:v>
                </c:pt>
                <c:pt idx="1">
                  <c:v>  ..Pasajeros Privado Urbano</c:v>
                </c:pt>
                <c:pt idx="2">
                  <c:v>  ..Pasajeros Público Interurbano</c:v>
                </c:pt>
                <c:pt idx="3">
                  <c:v>  ..Pasajeros Público Urbano</c:v>
                </c:pt>
                <c:pt idx="4">
                  <c:v>  ..Carga Urbana</c:v>
                </c:pt>
                <c:pt idx="5">
                  <c:v>  ..Carga Interurbana</c:v>
                </c:pt>
                <c:pt idx="6">
                  <c:v>  .Total Carretero</c:v>
                </c:pt>
              </c:strCache>
            </c:strRef>
          </c:cat>
          <c:val>
            <c:numRef>
              <c:f>Hoja1!$B$2:$B$8</c:f>
              <c:numCache>
                <c:formatCode>#,##0</c:formatCode>
                <c:ptCount val="7"/>
                <c:pt idx="0">
                  <c:v>4641</c:v>
                </c:pt>
                <c:pt idx="1">
                  <c:v>6825</c:v>
                </c:pt>
                <c:pt idx="2">
                  <c:v>4368</c:v>
                </c:pt>
                <c:pt idx="3">
                  <c:v>8463</c:v>
                </c:pt>
                <c:pt idx="4">
                  <c:v>1638</c:v>
                </c:pt>
                <c:pt idx="5">
                  <c:v>1365</c:v>
                </c:pt>
                <c:pt idx="6">
                  <c:v>27301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</c:plotArea>
    <c:legend>
      <c:legendPos val="t"/>
      <c:overlay val="0"/>
      <c:txPr>
        <a:bodyPr/>
        <a:lstStyle/>
        <a:p>
          <a:pPr>
            <a:defRPr lang="es-CO"/>
          </a:pPr>
          <a:endParaRPr lang="es-CO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2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CO"/>
  <c:roundedCorners val="0"/>
  <mc:AlternateContent xmlns:mc="http://schemas.openxmlformats.org/markup-compatibility/2006">
    <mc:Choice xmlns:c14="http://schemas.microsoft.com/office/drawing/2007/8/2/chart" Requires="c14">
      <c14:style val="118"/>
    </mc:Choice>
    <mc:Fallback>
      <c:style val="18"/>
    </mc:Fallback>
  </mc:AlternateContent>
  <c:chart>
    <c:title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PT</c:v>
                </c:pt>
              </c:strCache>
            </c:strRef>
          </c:tx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Hoja1!$A$2</c:f>
              <c:strCache>
                <c:ptCount val="1"/>
                <c:pt idx="0">
                  <c:v>Maritimo</c:v>
                </c:pt>
              </c:strCache>
            </c:strRef>
          </c:cat>
          <c:val>
            <c:numRef>
              <c:f>Hoja1!$B$2</c:f>
              <c:numCache>
                <c:formatCode>General</c:formatCode>
                <c:ptCount val="1"/>
                <c:pt idx="0">
                  <c:v>3120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</c:plotArea>
    <c:legend>
      <c:legendPos val="t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CO"/>
  <c:roundedCorners val="0"/>
  <mc:AlternateContent xmlns:mc="http://schemas.openxmlformats.org/markup-compatibility/2006">
    <mc:Choice xmlns:c14="http://schemas.microsoft.com/office/drawing/2007/8/2/chart" Requires="c14">
      <c14:style val="118"/>
    </mc:Choice>
    <mc:Fallback>
      <c:style val="18"/>
    </mc:Fallback>
  </mc:AlternateContent>
  <c:chart>
    <c:title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CM</c:v>
                </c:pt>
              </c:strCache>
            </c:strRef>
          </c:tx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Hoja1!$A$2</c:f>
              <c:strCache>
                <c:ptCount val="1"/>
                <c:pt idx="0">
                  <c:v>Ferroviario</c:v>
                </c:pt>
              </c:strCache>
            </c:strRef>
          </c:cat>
          <c:val>
            <c:numRef>
              <c:f>Hoja1!$B$2</c:f>
              <c:numCache>
                <c:formatCode>General</c:formatCode>
                <c:ptCount val="1"/>
                <c:pt idx="0">
                  <c:v>22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</c:plotArea>
    <c:legend>
      <c:legendPos val="t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CO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Sectores</c:v>
                </c:pt>
              </c:strCache>
            </c:strRef>
          </c:tx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21.2%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1"/>
              <c:showBubbleSize val="0"/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26.3%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1"/>
              <c:showBubbleSize val="0"/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38.3%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1"/>
              <c:showBubbleSize val="0"/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5.2%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1"/>
              <c:showBubbleSize val="0"/>
            </c:dLbl>
            <c:dLbl>
              <c:idx val="5"/>
              <c:tx>
                <c:rich>
                  <a:bodyPr/>
                  <a:lstStyle/>
                  <a:p>
                    <a:r>
                      <a:rPr lang="en-US"/>
                      <a:t>1.8%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1"/>
              <c:showBubbleSize val="0"/>
            </c:dLbl>
            <c:dLbl>
              <c:idx val="6"/>
              <c:tx>
                <c:rich>
                  <a:bodyPr/>
                  <a:lstStyle/>
                  <a:p>
                    <a:r>
                      <a:rPr lang="en-US"/>
                      <a:t>2.2%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1"/>
              <c:showBubbleSize val="0"/>
            </c:dLbl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Hoja1!$A$2:$A$8</c:f>
              <c:strCache>
                <c:ptCount val="7"/>
                <c:pt idx="0">
                  <c:v>Residencial</c:v>
                </c:pt>
                <c:pt idx="1">
                  <c:v>Industrial</c:v>
                </c:pt>
                <c:pt idx="2">
                  <c:v>Transporte</c:v>
                </c:pt>
                <c:pt idx="3">
                  <c:v>Comercial y Público</c:v>
                </c:pt>
                <c:pt idx="4">
                  <c:v>Agricola y Minero</c:v>
                </c:pt>
                <c:pt idx="5">
                  <c:v>Construcción</c:v>
                </c:pt>
                <c:pt idx="6">
                  <c:v>No identificado</c:v>
                </c:pt>
              </c:strCache>
            </c:strRef>
          </c:cat>
          <c:val>
            <c:numRef>
              <c:f>Hoja1!$B$2:$B$8</c:f>
              <c:numCache>
                <c:formatCode>General</c:formatCode>
                <c:ptCount val="7"/>
                <c:pt idx="0">
                  <c:v>21.2</c:v>
                </c:pt>
                <c:pt idx="1">
                  <c:v>26.3</c:v>
                </c:pt>
                <c:pt idx="2">
                  <c:v>38.300000000000004</c:v>
                </c:pt>
                <c:pt idx="3">
                  <c:v>5</c:v>
                </c:pt>
                <c:pt idx="4">
                  <c:v>5.2</c:v>
                </c:pt>
                <c:pt idx="5">
                  <c:v>1.8</c:v>
                </c:pt>
                <c:pt idx="6">
                  <c:v>2.2000000000000002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</c:plotArea>
    <c:legend>
      <c:legendPos val="t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s-CO"/>
  <c:roundedCorners val="0"/>
  <mc:AlternateContent xmlns:mc="http://schemas.openxmlformats.org/markup-compatibility/2006">
    <mc:Choice xmlns:c14="http://schemas.microsoft.com/office/drawing/2007/8/2/chart" Requires="c14">
      <c14:style val="118"/>
    </mc:Choice>
    <mc:Fallback>
      <c:style val="18"/>
    </mc:Fallback>
  </mc:AlternateContent>
  <c:chart>
    <c:title>
      <c:tx>
        <c:rich>
          <a:bodyPr/>
          <a:lstStyle/>
          <a:p>
            <a:pPr>
              <a:defRPr/>
            </a:pPr>
            <a:r>
              <a:rPr lang="es-CO"/>
              <a:t>  </a:t>
            </a:r>
            <a:r>
              <a:rPr lang="es-CO" baseline="0"/>
              <a:t>Consumo </a:t>
            </a:r>
            <a:r>
              <a:rPr lang="es-CO"/>
              <a:t>Pasajeros Privado Interurbano</a:t>
            </a:r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  ..Pasajeros Privado Interurbano</c:v>
                </c:pt>
              </c:strCache>
            </c:strRef>
          </c:tx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Hoja1!$A$2:$A$14</c:f>
              <c:strCache>
                <c:ptCount val="13"/>
                <c:pt idx="0">
                  <c:v>AC</c:v>
                </c:pt>
                <c:pt idx="1">
                  <c:v>BI</c:v>
                </c:pt>
                <c:pt idx="2">
                  <c:v>CL</c:v>
                </c:pt>
                <c:pt idx="3">
                  <c:v>CQ</c:v>
                </c:pt>
                <c:pt idx="4">
                  <c:v>DO</c:v>
                </c:pt>
                <c:pt idx="5">
                  <c:v>EE</c:v>
                </c:pt>
                <c:pt idx="6">
                  <c:v>FO</c:v>
                </c:pt>
                <c:pt idx="7">
                  <c:v>GI</c:v>
                </c:pt>
                <c:pt idx="8">
                  <c:v>GL</c:v>
                </c:pt>
                <c:pt idx="9">
                  <c:v>GM</c:v>
                </c:pt>
                <c:pt idx="10">
                  <c:v>GR</c:v>
                </c:pt>
                <c:pt idx="11">
                  <c:v>KJ</c:v>
                </c:pt>
                <c:pt idx="12">
                  <c:v>NE</c:v>
                </c:pt>
              </c:strCache>
            </c:strRef>
          </c:cat>
          <c:val>
            <c:numRef>
              <c:f>Hoja1!$B$2:$B$14</c:f>
              <c:numCache>
                <c:formatCode>General</c:formatCode>
                <c:ptCount val="13"/>
                <c:pt idx="0">
                  <c:v>736</c:v>
                </c:pt>
                <c:pt idx="1">
                  <c:v>76</c:v>
                </c:pt>
                <c:pt idx="4" formatCode="#,##0">
                  <c:v>1832</c:v>
                </c:pt>
                <c:pt idx="9" formatCode="#,##0">
                  <c:v>11002</c:v>
                </c:pt>
                <c:pt idx="12">
                  <c:v>684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</c:plotArea>
    <c:legend>
      <c:legendPos val="t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CO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  Consumo</a:t>
            </a:r>
            <a:r>
              <a:rPr lang="en-US" baseline="0"/>
              <a:t> </a:t>
            </a:r>
            <a:r>
              <a:rPr lang="en-US"/>
              <a:t>Pasajeros Privado Urbano</a:t>
            </a:r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  ..Pasajeros Privado Urbano</c:v>
                </c:pt>
              </c:strCache>
            </c:strRef>
          </c:tx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Hoja1!$A$2:$A$14</c:f>
              <c:strCache>
                <c:ptCount val="13"/>
                <c:pt idx="0">
                  <c:v>AC</c:v>
                </c:pt>
                <c:pt idx="1">
                  <c:v>BI</c:v>
                </c:pt>
                <c:pt idx="2">
                  <c:v>CL</c:v>
                </c:pt>
                <c:pt idx="3">
                  <c:v>CQ</c:v>
                </c:pt>
                <c:pt idx="4">
                  <c:v>DO</c:v>
                </c:pt>
                <c:pt idx="5">
                  <c:v>EE</c:v>
                </c:pt>
                <c:pt idx="6">
                  <c:v>FO</c:v>
                </c:pt>
                <c:pt idx="7">
                  <c:v>GI</c:v>
                </c:pt>
                <c:pt idx="8">
                  <c:v>GL</c:v>
                </c:pt>
                <c:pt idx="9">
                  <c:v>GM</c:v>
                </c:pt>
                <c:pt idx="10">
                  <c:v>GR</c:v>
                </c:pt>
                <c:pt idx="11">
                  <c:v>KJ</c:v>
                </c:pt>
                <c:pt idx="12">
                  <c:v>NE</c:v>
                </c:pt>
              </c:strCache>
            </c:strRef>
          </c:cat>
          <c:val>
            <c:numRef>
              <c:f>Hoja1!$B$2:$B$14</c:f>
              <c:numCache>
                <c:formatCode>General</c:formatCode>
                <c:ptCount val="13"/>
                <c:pt idx="0" formatCode="#,##0">
                  <c:v>2108</c:v>
                </c:pt>
                <c:pt idx="1">
                  <c:v>166</c:v>
                </c:pt>
                <c:pt idx="4" formatCode="#,##0">
                  <c:v>4000</c:v>
                </c:pt>
                <c:pt idx="9" formatCode="#,##0">
                  <c:v>29987</c:v>
                </c:pt>
                <c:pt idx="12" formatCode="#,##0">
                  <c:v>1445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</c:plotArea>
    <c:legend>
      <c:legendPos val="t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CO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Consumo Pasajeros Público Interurbano</c:v>
                </c:pt>
              </c:strCache>
            </c:strRef>
          </c:tx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Hoja1!$A$2:$A$14</c:f>
              <c:strCache>
                <c:ptCount val="13"/>
                <c:pt idx="0">
                  <c:v>AC</c:v>
                </c:pt>
                <c:pt idx="1">
                  <c:v>BI</c:v>
                </c:pt>
                <c:pt idx="2">
                  <c:v>CL</c:v>
                </c:pt>
                <c:pt idx="3">
                  <c:v>CQ</c:v>
                </c:pt>
                <c:pt idx="4">
                  <c:v>DO</c:v>
                </c:pt>
                <c:pt idx="5">
                  <c:v>EE</c:v>
                </c:pt>
                <c:pt idx="6">
                  <c:v>FO</c:v>
                </c:pt>
                <c:pt idx="7">
                  <c:v>GI</c:v>
                </c:pt>
                <c:pt idx="8">
                  <c:v>GL</c:v>
                </c:pt>
                <c:pt idx="9">
                  <c:v>GM</c:v>
                </c:pt>
                <c:pt idx="10">
                  <c:v>GR</c:v>
                </c:pt>
                <c:pt idx="11">
                  <c:v>KJ</c:v>
                </c:pt>
                <c:pt idx="12">
                  <c:v>NE</c:v>
                </c:pt>
              </c:strCache>
            </c:strRef>
          </c:cat>
          <c:val>
            <c:numRef>
              <c:f>Hoja1!$B$2:$B$14</c:f>
              <c:numCache>
                <c:formatCode>General</c:formatCode>
                <c:ptCount val="13"/>
                <c:pt idx="0">
                  <c:v>877</c:v>
                </c:pt>
                <c:pt idx="1">
                  <c:v>473</c:v>
                </c:pt>
                <c:pt idx="4" formatCode="#,##0">
                  <c:v>11360</c:v>
                </c:pt>
                <c:pt idx="9" formatCode="#,##0">
                  <c:v>13150</c:v>
                </c:pt>
                <c:pt idx="12">
                  <c:v>765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</c:plotArea>
    <c:legend>
      <c:legendPos val="t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CO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Consumo Pasajeros Público Urbano</c:v>
                </c:pt>
              </c:strCache>
            </c:strRef>
          </c:tx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Hoja1!$A$2:$A$14</c:f>
              <c:strCache>
                <c:ptCount val="13"/>
                <c:pt idx="0">
                  <c:v>AC</c:v>
                </c:pt>
                <c:pt idx="1">
                  <c:v>BI</c:v>
                </c:pt>
                <c:pt idx="2">
                  <c:v>CL</c:v>
                </c:pt>
                <c:pt idx="3">
                  <c:v>CQ</c:v>
                </c:pt>
                <c:pt idx="4">
                  <c:v>DO</c:v>
                </c:pt>
                <c:pt idx="5">
                  <c:v>EE</c:v>
                </c:pt>
                <c:pt idx="6">
                  <c:v>FO</c:v>
                </c:pt>
                <c:pt idx="7">
                  <c:v>GI</c:v>
                </c:pt>
                <c:pt idx="8">
                  <c:v>GL</c:v>
                </c:pt>
                <c:pt idx="9">
                  <c:v>GM</c:v>
                </c:pt>
                <c:pt idx="10">
                  <c:v>GR</c:v>
                </c:pt>
                <c:pt idx="11">
                  <c:v>KJ</c:v>
                </c:pt>
                <c:pt idx="12">
                  <c:v>NE</c:v>
                </c:pt>
              </c:strCache>
            </c:strRef>
          </c:cat>
          <c:val>
            <c:numRef>
              <c:f>Hoja1!$B$2:$B$14</c:f>
              <c:numCache>
                <c:formatCode>General</c:formatCode>
                <c:ptCount val="13"/>
                <c:pt idx="0" formatCode="#,##0">
                  <c:v>1691</c:v>
                </c:pt>
                <c:pt idx="1">
                  <c:v>452</c:v>
                </c:pt>
                <c:pt idx="4" formatCode="#,##0">
                  <c:v>10857</c:v>
                </c:pt>
                <c:pt idx="9" formatCode="#,##0">
                  <c:v>26143</c:v>
                </c:pt>
                <c:pt idx="12" formatCode="#,##0">
                  <c:v>1742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</c:plotArea>
    <c:legend>
      <c:legendPos val="t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CO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Consumo Carga Urbana</c:v>
                </c:pt>
              </c:strCache>
            </c:strRef>
          </c:tx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Hoja1!$A$2:$A$14</c:f>
              <c:strCache>
                <c:ptCount val="13"/>
                <c:pt idx="0">
                  <c:v>AC</c:v>
                </c:pt>
                <c:pt idx="1">
                  <c:v>BI</c:v>
                </c:pt>
                <c:pt idx="2">
                  <c:v>CL</c:v>
                </c:pt>
                <c:pt idx="3">
                  <c:v>CQ</c:v>
                </c:pt>
                <c:pt idx="4">
                  <c:v>DO</c:v>
                </c:pt>
                <c:pt idx="5">
                  <c:v>EE</c:v>
                </c:pt>
                <c:pt idx="6">
                  <c:v>FO</c:v>
                </c:pt>
                <c:pt idx="7">
                  <c:v>GI</c:v>
                </c:pt>
                <c:pt idx="8">
                  <c:v>GL</c:v>
                </c:pt>
                <c:pt idx="9">
                  <c:v>GM</c:v>
                </c:pt>
                <c:pt idx="10">
                  <c:v>GR</c:v>
                </c:pt>
                <c:pt idx="11">
                  <c:v>KJ</c:v>
                </c:pt>
                <c:pt idx="12">
                  <c:v>NE</c:v>
                </c:pt>
              </c:strCache>
            </c:strRef>
          </c:cat>
          <c:val>
            <c:numRef>
              <c:f>Hoja1!$B$2:$B$14</c:f>
              <c:numCache>
                <c:formatCode>General</c:formatCode>
                <c:ptCount val="13"/>
                <c:pt idx="0">
                  <c:v>797</c:v>
                </c:pt>
                <c:pt idx="1">
                  <c:v>635</c:v>
                </c:pt>
                <c:pt idx="4" formatCode="#,##0">
                  <c:v>15250</c:v>
                </c:pt>
                <c:pt idx="9" formatCode="#,##0">
                  <c:v>11725</c:v>
                </c:pt>
                <c:pt idx="12">
                  <c:v>970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</c:plotArea>
    <c:legend>
      <c:legendPos val="t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CO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Consumo Carga Interurbana</c:v>
                </c:pt>
              </c:strCache>
            </c:strRef>
          </c:tx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Hoja1!$A$2:$A$14</c:f>
              <c:strCache>
                <c:ptCount val="13"/>
                <c:pt idx="0">
                  <c:v>AC</c:v>
                </c:pt>
                <c:pt idx="1">
                  <c:v>BI</c:v>
                </c:pt>
                <c:pt idx="2">
                  <c:v>CL</c:v>
                </c:pt>
                <c:pt idx="3">
                  <c:v>CQ</c:v>
                </c:pt>
                <c:pt idx="4">
                  <c:v>DO</c:v>
                </c:pt>
                <c:pt idx="5">
                  <c:v>EE</c:v>
                </c:pt>
                <c:pt idx="6">
                  <c:v>FO</c:v>
                </c:pt>
                <c:pt idx="7">
                  <c:v>GI</c:v>
                </c:pt>
                <c:pt idx="8">
                  <c:v>GL</c:v>
                </c:pt>
                <c:pt idx="9">
                  <c:v>GM</c:v>
                </c:pt>
                <c:pt idx="10">
                  <c:v>GR</c:v>
                </c:pt>
                <c:pt idx="11">
                  <c:v>KJ</c:v>
                </c:pt>
                <c:pt idx="12">
                  <c:v>NE</c:v>
                </c:pt>
              </c:strCache>
            </c:strRef>
          </c:cat>
          <c:val>
            <c:numRef>
              <c:f>Hoja1!$B$2:$B$14</c:f>
              <c:numCache>
                <c:formatCode>#,##0</c:formatCode>
                <c:ptCount val="13"/>
                <c:pt idx="0" formatCode="General">
                  <c:v>853</c:v>
                </c:pt>
                <c:pt idx="1">
                  <c:v>5241</c:v>
                </c:pt>
                <c:pt idx="4">
                  <c:v>98435</c:v>
                </c:pt>
                <c:pt idx="9">
                  <c:v>12660</c:v>
                </c:pt>
                <c:pt idx="12">
                  <c:v>1874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</c:plotArea>
    <c:legend>
      <c:legendPos val="t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CO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Consumo Total Carretero</c:v>
                </c:pt>
              </c:strCache>
            </c:strRef>
          </c:tx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Hoja1!$A$2:$A$14</c:f>
              <c:strCache>
                <c:ptCount val="13"/>
                <c:pt idx="0">
                  <c:v>AC</c:v>
                </c:pt>
                <c:pt idx="1">
                  <c:v>BI</c:v>
                </c:pt>
                <c:pt idx="2">
                  <c:v>CL</c:v>
                </c:pt>
                <c:pt idx="3">
                  <c:v>CQ</c:v>
                </c:pt>
                <c:pt idx="4">
                  <c:v>DO</c:v>
                </c:pt>
                <c:pt idx="5">
                  <c:v>EE</c:v>
                </c:pt>
                <c:pt idx="6">
                  <c:v>FO</c:v>
                </c:pt>
                <c:pt idx="7">
                  <c:v>GI</c:v>
                </c:pt>
                <c:pt idx="8">
                  <c:v>GL</c:v>
                </c:pt>
                <c:pt idx="9">
                  <c:v>GM</c:v>
                </c:pt>
                <c:pt idx="10">
                  <c:v>GR</c:v>
                </c:pt>
                <c:pt idx="11">
                  <c:v>KJ</c:v>
                </c:pt>
                <c:pt idx="12">
                  <c:v>NE</c:v>
                </c:pt>
              </c:strCache>
            </c:strRef>
          </c:cat>
          <c:val>
            <c:numRef>
              <c:f>Hoja1!$B$2:$B$14</c:f>
              <c:numCache>
                <c:formatCode>#,##0</c:formatCode>
                <c:ptCount val="13"/>
                <c:pt idx="0">
                  <c:v>7063</c:v>
                </c:pt>
                <c:pt idx="1">
                  <c:v>7043</c:v>
                </c:pt>
                <c:pt idx="4">
                  <c:v>141734</c:v>
                </c:pt>
                <c:pt idx="9">
                  <c:v>104666</c:v>
                </c:pt>
                <c:pt idx="12">
                  <c:v>7479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</c:plotArea>
    <c:legend>
      <c:legendPos val="t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CO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  Consumo Aéreo</c:v>
                </c:pt>
              </c:strCache>
            </c:strRef>
          </c:tx>
          <c:dLbls>
            <c:dLbl>
              <c:idx val="8"/>
              <c:layout>
                <c:manualLayout>
                  <c:x val="4.5065887382633882E-2"/>
                  <c:y val="3.4733858267716591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</c:dLbl>
            <c:dLbl>
              <c:idx val="12"/>
              <c:layout>
                <c:manualLayout>
                  <c:x val="4.1160689096387308E-2"/>
                  <c:y val="3.5630728888300038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</c:dLbl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Hoja1!$A$2:$A$14</c:f>
              <c:strCache>
                <c:ptCount val="13"/>
                <c:pt idx="0">
                  <c:v>AC</c:v>
                </c:pt>
                <c:pt idx="1">
                  <c:v>BI</c:v>
                </c:pt>
                <c:pt idx="2">
                  <c:v>CL</c:v>
                </c:pt>
                <c:pt idx="3">
                  <c:v>CQ</c:v>
                </c:pt>
                <c:pt idx="4">
                  <c:v>DO</c:v>
                </c:pt>
                <c:pt idx="5">
                  <c:v>EE</c:v>
                </c:pt>
                <c:pt idx="6">
                  <c:v>FO</c:v>
                </c:pt>
                <c:pt idx="7">
                  <c:v>GI</c:v>
                </c:pt>
                <c:pt idx="8">
                  <c:v>GL</c:v>
                </c:pt>
                <c:pt idx="9">
                  <c:v>GM</c:v>
                </c:pt>
                <c:pt idx="10">
                  <c:v>GR</c:v>
                </c:pt>
                <c:pt idx="11">
                  <c:v>KJ</c:v>
                </c:pt>
                <c:pt idx="12">
                  <c:v>NE</c:v>
                </c:pt>
              </c:strCache>
            </c:strRef>
          </c:cat>
          <c:val>
            <c:numRef>
              <c:f>Hoja1!$B$2:$B$14</c:f>
              <c:numCache>
                <c:formatCode>General</c:formatCode>
                <c:ptCount val="13"/>
                <c:pt idx="9">
                  <c:v>436</c:v>
                </c:pt>
                <c:pt idx="11" formatCode="#,##0">
                  <c:v>28512</c:v>
                </c:pt>
                <c:pt idx="12">
                  <c:v>97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</c:plotArea>
    <c:legend>
      <c:legendPos val="t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CO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 Consumo Fluvial</c:v>
                </c:pt>
              </c:strCache>
            </c:strRef>
          </c:tx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Hoja1!$A$2:$A$14</c:f>
              <c:strCache>
                <c:ptCount val="13"/>
                <c:pt idx="0">
                  <c:v>AC</c:v>
                </c:pt>
                <c:pt idx="1">
                  <c:v>BI</c:v>
                </c:pt>
                <c:pt idx="2">
                  <c:v>CL</c:v>
                </c:pt>
                <c:pt idx="3">
                  <c:v>CQ</c:v>
                </c:pt>
                <c:pt idx="4">
                  <c:v>DO</c:v>
                </c:pt>
                <c:pt idx="5">
                  <c:v>EE</c:v>
                </c:pt>
                <c:pt idx="6">
                  <c:v>FO</c:v>
                </c:pt>
                <c:pt idx="7">
                  <c:v>GI</c:v>
                </c:pt>
                <c:pt idx="8">
                  <c:v>GL</c:v>
                </c:pt>
                <c:pt idx="9">
                  <c:v>GM</c:v>
                </c:pt>
                <c:pt idx="10">
                  <c:v>GR</c:v>
                </c:pt>
                <c:pt idx="11">
                  <c:v>KJ</c:v>
                </c:pt>
                <c:pt idx="12">
                  <c:v>NE</c:v>
                </c:pt>
              </c:strCache>
            </c:strRef>
          </c:cat>
          <c:val>
            <c:numRef>
              <c:f>Hoja1!$B$2:$B$14</c:f>
              <c:numCache>
                <c:formatCode>General</c:formatCode>
                <c:ptCount val="13"/>
                <c:pt idx="4" formatCode="#,##0">
                  <c:v>8103</c:v>
                </c:pt>
                <c:pt idx="9" formatCode="#,##0">
                  <c:v>1594</c:v>
                </c:pt>
                <c:pt idx="12">
                  <c:v>143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</c:plotArea>
    <c:legend>
      <c:legendPos val="t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CO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Consumo Marítimo</c:v>
                </c:pt>
              </c:strCache>
            </c:strRef>
          </c:tx>
          <c:dPt>
            <c:idx val="0"/>
            <c:bubble3D val="0"/>
            <c:explosion val="25"/>
          </c:dPt>
          <c:dPt>
            <c:idx val="4"/>
            <c:bubble3D val="0"/>
            <c:explosion val="8"/>
          </c:dPt>
          <c:dLbls>
            <c:dLbl>
              <c:idx val="8"/>
              <c:layout>
                <c:manualLayout>
                  <c:x val="3.9595545348498101E-2"/>
                  <c:y val="1.5247156605424321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</c:dLbl>
            <c:dLbl>
              <c:idx val="12"/>
              <c:layout>
                <c:manualLayout>
                  <c:x val="5.1172717993584138E-2"/>
                  <c:y val="4.3877488944523736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</c:dLbl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Hoja1!$A$2:$A$14</c:f>
              <c:strCache>
                <c:ptCount val="13"/>
                <c:pt idx="0">
                  <c:v>AC</c:v>
                </c:pt>
                <c:pt idx="1">
                  <c:v>BI</c:v>
                </c:pt>
                <c:pt idx="2">
                  <c:v>CL</c:v>
                </c:pt>
                <c:pt idx="3">
                  <c:v>CQ</c:v>
                </c:pt>
                <c:pt idx="4">
                  <c:v>DO</c:v>
                </c:pt>
                <c:pt idx="5">
                  <c:v>EE</c:v>
                </c:pt>
                <c:pt idx="6">
                  <c:v>FO</c:v>
                </c:pt>
                <c:pt idx="7">
                  <c:v>GI</c:v>
                </c:pt>
                <c:pt idx="8">
                  <c:v>GL</c:v>
                </c:pt>
                <c:pt idx="9">
                  <c:v>GM</c:v>
                </c:pt>
                <c:pt idx="10">
                  <c:v>GR</c:v>
                </c:pt>
                <c:pt idx="11">
                  <c:v>KJ</c:v>
                </c:pt>
                <c:pt idx="12">
                  <c:v>NE</c:v>
                </c:pt>
              </c:strCache>
            </c:strRef>
          </c:cat>
          <c:val>
            <c:numRef>
              <c:f>Hoja1!$B$2:$B$14</c:f>
              <c:numCache>
                <c:formatCode>General</c:formatCode>
                <c:ptCount val="13"/>
                <c:pt idx="4" formatCode="#,##0">
                  <c:v>17893</c:v>
                </c:pt>
                <c:pt idx="6">
                  <c:v>109</c:v>
                </c:pt>
                <c:pt idx="12">
                  <c:v>46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</c:plotArea>
    <c:legend>
      <c:legendPos val="t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CO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Tipo de Energía</c:v>
                </c:pt>
              </c:strCache>
            </c:strRef>
          </c:tx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Hoja1!$A$2:$A$8</c:f>
              <c:strCache>
                <c:ptCount val="7"/>
                <c:pt idx="0">
                  <c:v>BZ</c:v>
                </c:pt>
                <c:pt idx="1">
                  <c:v>CM</c:v>
                </c:pt>
                <c:pt idx="2">
                  <c:v>GN</c:v>
                </c:pt>
                <c:pt idx="3">
                  <c:v>HE</c:v>
                </c:pt>
                <c:pt idx="4">
                  <c:v>LE</c:v>
                </c:pt>
                <c:pt idx="5">
                  <c:v>PT</c:v>
                </c:pt>
                <c:pt idx="6">
                  <c:v>RC</c:v>
                </c:pt>
              </c:strCache>
            </c:strRef>
          </c:cat>
          <c:val>
            <c:numRef>
              <c:f>Hoja1!$B$2:$B$8</c:f>
              <c:numCache>
                <c:formatCode>#,##0</c:formatCode>
                <c:ptCount val="7"/>
                <c:pt idx="0">
                  <c:v>28004</c:v>
                </c:pt>
                <c:pt idx="1">
                  <c:v>42852</c:v>
                </c:pt>
                <c:pt idx="2">
                  <c:v>80926</c:v>
                </c:pt>
                <c:pt idx="4" formatCode="General">
                  <c:v>437</c:v>
                </c:pt>
                <c:pt idx="5">
                  <c:v>4299</c:v>
                </c:pt>
                <c:pt idx="6">
                  <c:v>9494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</c:plotArea>
    <c:legend>
      <c:legendPos val="t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4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CO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Consumo Ferroviario</c:v>
                </c:pt>
              </c:strCache>
            </c:strRef>
          </c:tx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Hoja1!$A$2:$A$14</c:f>
              <c:strCache>
                <c:ptCount val="13"/>
                <c:pt idx="0">
                  <c:v>AC</c:v>
                </c:pt>
                <c:pt idx="1">
                  <c:v>BI</c:v>
                </c:pt>
                <c:pt idx="2">
                  <c:v>CL</c:v>
                </c:pt>
                <c:pt idx="3">
                  <c:v>CQ</c:v>
                </c:pt>
                <c:pt idx="4">
                  <c:v>DO</c:v>
                </c:pt>
                <c:pt idx="5">
                  <c:v>EE</c:v>
                </c:pt>
                <c:pt idx="6">
                  <c:v>FO</c:v>
                </c:pt>
                <c:pt idx="7">
                  <c:v>GI</c:v>
                </c:pt>
                <c:pt idx="8">
                  <c:v>GL</c:v>
                </c:pt>
                <c:pt idx="9">
                  <c:v>GM</c:v>
                </c:pt>
                <c:pt idx="10">
                  <c:v>GR</c:v>
                </c:pt>
                <c:pt idx="11">
                  <c:v>KJ</c:v>
                </c:pt>
                <c:pt idx="12">
                  <c:v>NE</c:v>
                </c:pt>
              </c:strCache>
            </c:strRef>
          </c:cat>
          <c:val>
            <c:numRef>
              <c:f>Hoja1!$B$2:$B$14</c:f>
              <c:numCache>
                <c:formatCode>General</c:formatCode>
                <c:ptCount val="13"/>
                <c:pt idx="4" formatCode="#,##0">
                  <c:v>1419</c:v>
                </c:pt>
                <c:pt idx="5">
                  <c:v>216</c:v>
                </c:pt>
                <c:pt idx="6">
                  <c:v>13</c:v>
                </c:pt>
                <c:pt idx="12">
                  <c:v>35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</c:plotArea>
    <c:legend>
      <c:legendPos val="t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CO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s-CO"/>
              <a:t>Alimentos Bebidas y Tabaco</a:t>
            </a:r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Ventas</c:v>
                </c:pt>
              </c:strCache>
            </c:strRef>
          </c:tx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Hoja1!$A$2:$A$8</c:f>
              <c:strCache>
                <c:ptCount val="7"/>
                <c:pt idx="0">
                  <c:v>BZ</c:v>
                </c:pt>
                <c:pt idx="1">
                  <c:v>CM</c:v>
                </c:pt>
                <c:pt idx="2">
                  <c:v>GN</c:v>
                </c:pt>
                <c:pt idx="3">
                  <c:v>HE</c:v>
                </c:pt>
                <c:pt idx="4">
                  <c:v>LE</c:v>
                </c:pt>
                <c:pt idx="5">
                  <c:v>PT</c:v>
                </c:pt>
                <c:pt idx="6">
                  <c:v>RC</c:v>
                </c:pt>
              </c:strCache>
            </c:strRef>
          </c:cat>
          <c:val>
            <c:numRef>
              <c:f>Hoja1!$B$2:$B$8</c:f>
              <c:numCache>
                <c:formatCode>#,##0</c:formatCode>
                <c:ptCount val="7"/>
                <c:pt idx="0">
                  <c:v>26937</c:v>
                </c:pt>
                <c:pt idx="1">
                  <c:v>3212</c:v>
                </c:pt>
                <c:pt idx="2">
                  <c:v>5113</c:v>
                </c:pt>
                <c:pt idx="4" formatCode="General">
                  <c:v>387</c:v>
                </c:pt>
                <c:pt idx="5">
                  <c:v>1491</c:v>
                </c:pt>
                <c:pt idx="6" formatCode="General">
                  <c:v>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</c:plotArea>
    <c:legend>
      <c:legendPos val="t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CO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Textil y Confecciones</a:t>
            </a:r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Ventas</c:v>
                </c:pt>
              </c:strCache>
            </c:strRef>
          </c:tx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Hoja1!$A$2:$A$8</c:f>
              <c:strCache>
                <c:ptCount val="7"/>
                <c:pt idx="0">
                  <c:v>BZ</c:v>
                </c:pt>
                <c:pt idx="1">
                  <c:v>CM</c:v>
                </c:pt>
                <c:pt idx="2">
                  <c:v>GN</c:v>
                </c:pt>
                <c:pt idx="3">
                  <c:v>HE</c:v>
                </c:pt>
                <c:pt idx="4">
                  <c:v>LE</c:v>
                </c:pt>
                <c:pt idx="5">
                  <c:v>PT</c:v>
                </c:pt>
                <c:pt idx="6">
                  <c:v>RC</c:v>
                </c:pt>
              </c:strCache>
            </c:strRef>
          </c:cat>
          <c:val>
            <c:numRef>
              <c:f>Hoja1!$B$2:$B$8</c:f>
              <c:numCache>
                <c:formatCode>#,##0</c:formatCode>
                <c:ptCount val="7"/>
                <c:pt idx="1">
                  <c:v>5209</c:v>
                </c:pt>
                <c:pt idx="2" formatCode="General">
                  <c:v>567</c:v>
                </c:pt>
                <c:pt idx="5" formatCode="General">
                  <c:v>565</c:v>
                </c:pt>
                <c:pt idx="6" formatCode="General">
                  <c:v>70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</c:plotArea>
    <c:legend>
      <c:legendPos val="t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CO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s-CO"/>
              <a:t>Calzado y cueros</a:t>
            </a:r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Ventas</c:v>
                </c:pt>
              </c:strCache>
            </c:strRef>
          </c:tx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Hoja1!$A$2:$A$8</c:f>
              <c:strCache>
                <c:ptCount val="7"/>
                <c:pt idx="0">
                  <c:v>BZ</c:v>
                </c:pt>
                <c:pt idx="1">
                  <c:v>CM</c:v>
                </c:pt>
                <c:pt idx="2">
                  <c:v>GN</c:v>
                </c:pt>
                <c:pt idx="3">
                  <c:v>HE</c:v>
                </c:pt>
                <c:pt idx="4">
                  <c:v>LE</c:v>
                </c:pt>
                <c:pt idx="5">
                  <c:v>PT</c:v>
                </c:pt>
                <c:pt idx="6">
                  <c:v>RC</c:v>
                </c:pt>
              </c:strCache>
            </c:strRef>
          </c:cat>
          <c:val>
            <c:numRef>
              <c:f>Hoja1!$B$2:$B$8</c:f>
              <c:numCache>
                <c:formatCode>General</c:formatCode>
                <c:ptCount val="7"/>
                <c:pt idx="1">
                  <c:v>77</c:v>
                </c:pt>
                <c:pt idx="2">
                  <c:v>275</c:v>
                </c:pt>
                <c:pt idx="5">
                  <c:v>82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</c:plotArea>
    <c:legend>
      <c:legendPos val="t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CO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s-CO"/>
              <a:t>Maderas</a:t>
            </a:r>
            <a:r>
              <a:rPr lang="es-CO" baseline="0"/>
              <a:t> y Muebles</a:t>
            </a:r>
            <a:endParaRPr lang="es-CO"/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Ventas</c:v>
                </c:pt>
              </c:strCache>
            </c:strRef>
          </c:tx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Hoja1!$A$2:$A$8</c:f>
              <c:strCache>
                <c:ptCount val="7"/>
                <c:pt idx="0">
                  <c:v>BZ</c:v>
                </c:pt>
                <c:pt idx="1">
                  <c:v>CM</c:v>
                </c:pt>
                <c:pt idx="2">
                  <c:v>GN</c:v>
                </c:pt>
                <c:pt idx="3">
                  <c:v>HE</c:v>
                </c:pt>
                <c:pt idx="4">
                  <c:v>LE</c:v>
                </c:pt>
                <c:pt idx="5">
                  <c:v>PT</c:v>
                </c:pt>
                <c:pt idx="6">
                  <c:v>RC</c:v>
                </c:pt>
              </c:strCache>
            </c:strRef>
          </c:cat>
          <c:val>
            <c:numRef>
              <c:f>Hoja1!$B$2:$B$8</c:f>
              <c:numCache>
                <c:formatCode>General</c:formatCode>
                <c:ptCount val="7"/>
                <c:pt idx="1">
                  <c:v>14</c:v>
                </c:pt>
                <c:pt idx="2" formatCode="#,##0">
                  <c:v>1360</c:v>
                </c:pt>
                <c:pt idx="5">
                  <c:v>24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</c:plotArea>
    <c:legend>
      <c:legendPos val="t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CO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s-CO"/>
              <a:t>Papel</a:t>
            </a:r>
            <a:r>
              <a:rPr lang="es-CO" baseline="0"/>
              <a:t> e Imprenta</a:t>
            </a:r>
            <a:endParaRPr lang="es-CO"/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Ventas</c:v>
                </c:pt>
              </c:strCache>
            </c:strRef>
          </c:tx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Hoja1!$A$2:$A$8</c:f>
              <c:strCache>
                <c:ptCount val="7"/>
                <c:pt idx="0">
                  <c:v>BZ</c:v>
                </c:pt>
                <c:pt idx="1">
                  <c:v>CM</c:v>
                </c:pt>
                <c:pt idx="2">
                  <c:v>GN</c:v>
                </c:pt>
                <c:pt idx="3">
                  <c:v>HE</c:v>
                </c:pt>
                <c:pt idx="4">
                  <c:v>LE</c:v>
                </c:pt>
                <c:pt idx="5">
                  <c:v>PT</c:v>
                </c:pt>
                <c:pt idx="6">
                  <c:v>RC</c:v>
                </c:pt>
              </c:strCache>
            </c:strRef>
          </c:cat>
          <c:val>
            <c:numRef>
              <c:f>Hoja1!$B$2:$B$8</c:f>
              <c:numCache>
                <c:formatCode>#,##0</c:formatCode>
                <c:ptCount val="7"/>
                <c:pt idx="0">
                  <c:v>1067</c:v>
                </c:pt>
                <c:pt idx="1">
                  <c:v>7241</c:v>
                </c:pt>
                <c:pt idx="2">
                  <c:v>3862</c:v>
                </c:pt>
                <c:pt idx="5" formatCode="General">
                  <c:v>5</c:v>
                </c:pt>
                <c:pt idx="6">
                  <c:v>8550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</c:plotArea>
    <c:legend>
      <c:legendPos val="t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381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EAN</dc:creator>
  <cp:lastModifiedBy>Alumno</cp:lastModifiedBy>
  <cp:revision>2</cp:revision>
  <dcterms:created xsi:type="dcterms:W3CDTF">2011-10-28T17:50:00Z</dcterms:created>
  <dcterms:modified xsi:type="dcterms:W3CDTF">2011-10-28T17:50:00Z</dcterms:modified>
</cp:coreProperties>
</file>