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3074"/>
        <w:gridCol w:w="3060"/>
        <w:gridCol w:w="2520"/>
        <w:gridCol w:w="1800"/>
      </w:tblGrid>
      <w:tr w:rsidR="00C13D6D" w:rsidRPr="001F2739">
        <w:tc>
          <w:tcPr>
            <w:tcW w:w="526" w:type="dxa"/>
            <w:shd w:val="clear" w:color="auto" w:fill="F3F3F3"/>
          </w:tcPr>
          <w:p w:rsidR="00C13D6D" w:rsidRPr="001F2739" w:rsidRDefault="00C13D6D" w:rsidP="007777B1">
            <w:pPr>
              <w:spacing w:before="120" w:after="120"/>
              <w:rPr>
                <w:rFonts w:ascii="Arial" w:hAnsi="Arial" w:cs="Arial"/>
                <w:b/>
                <w:sz w:val="16"/>
                <w:szCs w:val="16"/>
              </w:rPr>
            </w:pPr>
          </w:p>
        </w:tc>
        <w:tc>
          <w:tcPr>
            <w:tcW w:w="3074" w:type="dxa"/>
            <w:shd w:val="clear" w:color="auto" w:fill="C0C0C0"/>
          </w:tcPr>
          <w:p w:rsidR="00C13D6D" w:rsidRPr="001F2739" w:rsidRDefault="00C13D6D">
            <w:pPr>
              <w:spacing w:before="120" w:after="120"/>
              <w:jc w:val="center"/>
              <w:rPr>
                <w:rFonts w:ascii="Arial" w:hAnsi="Arial" w:cs="Arial"/>
                <w:b/>
                <w:sz w:val="16"/>
                <w:szCs w:val="16"/>
              </w:rPr>
            </w:pPr>
            <w:r w:rsidRPr="001F2739">
              <w:rPr>
                <w:rFonts w:ascii="Arial" w:hAnsi="Arial" w:cs="Arial"/>
                <w:b/>
                <w:sz w:val="16"/>
                <w:szCs w:val="16"/>
              </w:rPr>
              <w:t>Definición y finalidad de la competencia</w:t>
            </w:r>
          </w:p>
        </w:tc>
        <w:tc>
          <w:tcPr>
            <w:tcW w:w="3060" w:type="dxa"/>
            <w:shd w:val="clear" w:color="auto" w:fill="C0C0C0"/>
          </w:tcPr>
          <w:p w:rsidR="00C13D6D" w:rsidRPr="001F2739" w:rsidRDefault="00C13D6D">
            <w:pPr>
              <w:tabs>
                <w:tab w:val="center" w:pos="2280"/>
              </w:tabs>
              <w:spacing w:before="120" w:after="120"/>
              <w:jc w:val="center"/>
              <w:rPr>
                <w:rFonts w:ascii="Arial" w:hAnsi="Arial" w:cs="Arial"/>
                <w:b/>
                <w:sz w:val="16"/>
                <w:szCs w:val="16"/>
              </w:rPr>
            </w:pPr>
            <w:r w:rsidRPr="001F2739">
              <w:rPr>
                <w:rFonts w:ascii="Arial" w:hAnsi="Arial" w:cs="Arial"/>
                <w:b/>
                <w:sz w:val="16"/>
                <w:szCs w:val="16"/>
              </w:rPr>
              <w:t>Conocimientos</w:t>
            </w:r>
          </w:p>
        </w:tc>
        <w:tc>
          <w:tcPr>
            <w:tcW w:w="2520" w:type="dxa"/>
            <w:shd w:val="clear" w:color="auto" w:fill="C0C0C0"/>
          </w:tcPr>
          <w:p w:rsidR="00C13D6D" w:rsidRPr="001F2739" w:rsidRDefault="00C13D6D">
            <w:pPr>
              <w:spacing w:before="120" w:after="120"/>
              <w:jc w:val="center"/>
              <w:rPr>
                <w:rFonts w:ascii="Arial" w:hAnsi="Arial" w:cs="Arial"/>
                <w:b/>
                <w:sz w:val="16"/>
                <w:szCs w:val="16"/>
              </w:rPr>
            </w:pPr>
            <w:r w:rsidRPr="001F2739">
              <w:rPr>
                <w:rFonts w:ascii="Arial" w:hAnsi="Arial" w:cs="Arial"/>
                <w:b/>
                <w:sz w:val="16"/>
                <w:szCs w:val="16"/>
              </w:rPr>
              <w:t>Destrezas</w:t>
            </w:r>
          </w:p>
        </w:tc>
        <w:tc>
          <w:tcPr>
            <w:tcW w:w="1800" w:type="dxa"/>
            <w:shd w:val="clear" w:color="auto" w:fill="C0C0C0"/>
          </w:tcPr>
          <w:p w:rsidR="00C13D6D" w:rsidRPr="001F2739" w:rsidRDefault="00C13D6D">
            <w:pPr>
              <w:spacing w:before="120" w:after="120"/>
              <w:jc w:val="center"/>
              <w:rPr>
                <w:rFonts w:ascii="Arial" w:hAnsi="Arial" w:cs="Arial"/>
                <w:b/>
                <w:sz w:val="16"/>
                <w:szCs w:val="16"/>
              </w:rPr>
            </w:pPr>
            <w:r w:rsidRPr="001F2739">
              <w:rPr>
                <w:rFonts w:ascii="Arial" w:hAnsi="Arial" w:cs="Arial"/>
                <w:b/>
                <w:sz w:val="16"/>
                <w:szCs w:val="16"/>
              </w:rPr>
              <w:t>Actitudes</w:t>
            </w:r>
          </w:p>
        </w:tc>
      </w:tr>
      <w:tr w:rsidR="00C13D6D" w:rsidRPr="001F2739">
        <w:trPr>
          <w:cantSplit/>
          <w:trHeight w:val="8727"/>
        </w:trPr>
        <w:tc>
          <w:tcPr>
            <w:tcW w:w="526" w:type="dxa"/>
            <w:shd w:val="clear" w:color="auto" w:fill="F3F3F3"/>
            <w:textDirection w:val="btLr"/>
            <w:vAlign w:val="center"/>
          </w:tcPr>
          <w:p w:rsidR="00C13D6D" w:rsidRPr="001F2739" w:rsidRDefault="00C13D6D" w:rsidP="007777B1">
            <w:pPr>
              <w:spacing w:before="120"/>
              <w:ind w:left="113" w:right="-108"/>
              <w:jc w:val="center"/>
              <w:rPr>
                <w:rFonts w:ascii="Arial" w:hAnsi="Arial" w:cs="Arial"/>
                <w:b/>
                <w:sz w:val="16"/>
                <w:szCs w:val="16"/>
              </w:rPr>
            </w:pPr>
            <w:r w:rsidRPr="001F2739">
              <w:rPr>
                <w:rFonts w:ascii="Arial" w:hAnsi="Arial" w:cs="Arial"/>
                <w:b/>
                <w:sz w:val="16"/>
                <w:szCs w:val="16"/>
              </w:rPr>
              <w:t>Conocimiento e interacción con el mundo físico</w:t>
            </w:r>
          </w:p>
        </w:tc>
        <w:tc>
          <w:tcPr>
            <w:tcW w:w="3074" w:type="dxa"/>
          </w:tcPr>
          <w:p w:rsidR="00C13D6D" w:rsidRPr="001F2739" w:rsidRDefault="00C13D6D">
            <w:pPr>
              <w:spacing w:before="60"/>
              <w:rPr>
                <w:rFonts w:ascii="Arial" w:hAnsi="Arial" w:cs="Arial"/>
                <w:sz w:val="16"/>
                <w:szCs w:val="16"/>
                <w:lang w:val="es-ES_tradnl"/>
              </w:rPr>
            </w:pPr>
            <w:r w:rsidRPr="001F2739">
              <w:rPr>
                <w:rFonts w:ascii="Arial" w:hAnsi="Arial" w:cs="Arial"/>
                <w:sz w:val="16"/>
                <w:szCs w:val="16"/>
                <w:lang w:val="es-ES_tradnl"/>
              </w:rPr>
              <w:t>Habilidad para interactuar con el mundo físico, tanto en sus aspectos naturales como en los generados por la acción humana, de modo que facilite la comprensión de sucesos, la predicción de consecuencias y la actividad dirigida a la mejora y preservación de las condiciones de vida propia, de los demás hombres y mujeres y del resto de los seres vivos.</w:t>
            </w:r>
          </w:p>
          <w:p w:rsidR="00C13D6D" w:rsidRPr="001F2739" w:rsidRDefault="00C13D6D">
            <w:pPr>
              <w:spacing w:before="60"/>
              <w:rPr>
                <w:rFonts w:ascii="Arial" w:hAnsi="Arial" w:cs="Arial"/>
                <w:b/>
                <w:sz w:val="16"/>
                <w:szCs w:val="16"/>
                <w:lang w:val="es-ES_tradnl"/>
              </w:rPr>
            </w:pPr>
            <w:r w:rsidRPr="001F2739">
              <w:rPr>
                <w:rFonts w:ascii="Arial" w:hAnsi="Arial" w:cs="Arial"/>
                <w:b/>
                <w:sz w:val="16"/>
                <w:szCs w:val="16"/>
                <w:lang w:val="es-ES_tradnl"/>
              </w:rPr>
              <w:t>Finalidad</w:t>
            </w:r>
          </w:p>
          <w:p w:rsidR="00C13D6D" w:rsidRPr="001F2739" w:rsidRDefault="00C13D6D">
            <w:pPr>
              <w:pStyle w:val="Style1"/>
              <w:spacing w:before="60"/>
              <w:ind w:firstLine="0"/>
              <w:jc w:val="left"/>
              <w:rPr>
                <w:rFonts w:ascii="Arial" w:hAnsi="Arial" w:cs="Arial"/>
                <w:spacing w:val="3"/>
                <w:sz w:val="16"/>
                <w:szCs w:val="16"/>
                <w:lang w:val="es-ES_tradnl"/>
              </w:rPr>
            </w:pPr>
            <w:r w:rsidRPr="001F2739">
              <w:rPr>
                <w:rFonts w:ascii="Arial" w:hAnsi="Arial" w:cs="Arial"/>
                <w:spacing w:val="3"/>
                <w:sz w:val="16"/>
                <w:szCs w:val="16"/>
                <w:lang w:val="es-ES_tradnl"/>
              </w:rPr>
              <w:t>Esta competencia se refiere a ámbitos del conocimiento muy diversos (ciencia, salud, actividad física, consumo, procesos tecnológicos, etc.)</w:t>
            </w:r>
          </w:p>
          <w:p w:rsidR="00C13D6D" w:rsidRPr="001F2739" w:rsidRDefault="00C13D6D">
            <w:pPr>
              <w:pStyle w:val="Style1"/>
              <w:spacing w:before="60"/>
              <w:ind w:firstLine="0"/>
              <w:jc w:val="left"/>
              <w:rPr>
                <w:rFonts w:ascii="Arial" w:hAnsi="Arial" w:cs="Arial"/>
                <w:spacing w:val="3"/>
                <w:sz w:val="16"/>
                <w:szCs w:val="16"/>
                <w:lang w:val="es-ES_tradnl"/>
              </w:rPr>
            </w:pPr>
            <w:r w:rsidRPr="001F2739">
              <w:rPr>
                <w:rFonts w:ascii="Arial" w:hAnsi="Arial" w:cs="Arial"/>
                <w:spacing w:val="3"/>
                <w:sz w:val="16"/>
                <w:szCs w:val="16"/>
                <w:lang w:val="es-ES_tradnl"/>
              </w:rPr>
              <w:t>Los avances que se van produciendo en los ámbitos científico y tecnológico, y la influencia decisiva que tienen sobre el medio ambiente, la salud y la calidad de vida de los ciudadanos, hacen que cada vez sea más importante el desarrollo del pensamiento científico-técnico para interpretar la información que se recibe y para predecir y tomar decisiones sobre ellos de manera autónoma y, en general, para comprender y resolver problemas en el mundo actual.</w:t>
            </w:r>
          </w:p>
          <w:p w:rsidR="00C13D6D" w:rsidRPr="001F2739" w:rsidRDefault="00C13D6D">
            <w:pPr>
              <w:pStyle w:val="Style1"/>
              <w:spacing w:before="60"/>
              <w:ind w:firstLine="0"/>
              <w:jc w:val="left"/>
              <w:rPr>
                <w:rFonts w:ascii="Arial" w:hAnsi="Arial" w:cs="Arial"/>
                <w:spacing w:val="3"/>
                <w:sz w:val="16"/>
                <w:szCs w:val="16"/>
                <w:lang w:val="es-ES_tradnl"/>
              </w:rPr>
            </w:pPr>
            <w:r w:rsidRPr="001F2739">
              <w:rPr>
                <w:rFonts w:ascii="Arial" w:hAnsi="Arial" w:cs="Arial"/>
                <w:spacing w:val="3"/>
                <w:sz w:val="16"/>
                <w:szCs w:val="16"/>
                <w:lang w:val="es-ES_tradnl"/>
              </w:rPr>
              <w:t>El adecuado desarrollo de esta competencia requiere tener en cuenta las diferentes dimensiones presentes en el ámbito científico y tecnológico. Por ello, se debe trabajar, por una parte, sobre el conocimiento de los objetos y los espacios cotidianos, los procesos tecnológicos, la distribución de los fenómenos en el espacio geográfico y el medio ambiente, aplicando criterios asociados al pensamiento científico: planteándose preguntas, razonando sobre la experiencia, realizando inferencias, etc,</w:t>
            </w:r>
          </w:p>
          <w:p w:rsidR="00C13D6D" w:rsidRPr="001F2739" w:rsidRDefault="00C13D6D">
            <w:pPr>
              <w:pStyle w:val="Style1"/>
              <w:spacing w:before="60"/>
              <w:ind w:firstLine="0"/>
              <w:jc w:val="left"/>
              <w:rPr>
                <w:rFonts w:ascii="Arial" w:hAnsi="Arial" w:cs="Arial"/>
                <w:spacing w:val="3"/>
                <w:sz w:val="16"/>
                <w:szCs w:val="16"/>
                <w:lang w:val="es-ES_tradnl"/>
              </w:rPr>
            </w:pPr>
            <w:r w:rsidRPr="001F2739">
              <w:rPr>
                <w:rFonts w:ascii="Arial" w:hAnsi="Arial" w:cs="Arial"/>
                <w:spacing w:val="3"/>
                <w:sz w:val="16"/>
                <w:szCs w:val="16"/>
                <w:lang w:val="es-ES_tradnl"/>
              </w:rPr>
              <w:t>Pero, por otra parte, se trata de que al tomar decisiones se tenga en cuenta la importancia del uso responsable de los recursos naturales, la preservación del medio ambiente, el consumo racional y responsable de los productos y el fomento de la cultura de protección de la salud como elemento clave de la calidad de vida de las personas.</w:t>
            </w:r>
          </w:p>
          <w:p w:rsidR="00C13D6D" w:rsidRPr="001F2739" w:rsidRDefault="00C13D6D">
            <w:pPr>
              <w:pStyle w:val="Style1"/>
              <w:spacing w:before="60"/>
              <w:ind w:firstLine="0"/>
              <w:jc w:val="left"/>
              <w:rPr>
                <w:rFonts w:ascii="Arial" w:hAnsi="Arial" w:cs="Arial"/>
                <w:spacing w:val="3"/>
                <w:sz w:val="16"/>
                <w:szCs w:val="16"/>
                <w:lang w:val="es-ES_tradnl"/>
              </w:rPr>
            </w:pPr>
            <w:r w:rsidRPr="001F2739">
              <w:rPr>
                <w:rFonts w:ascii="Arial" w:hAnsi="Arial" w:cs="Arial"/>
                <w:spacing w:val="3"/>
                <w:sz w:val="16"/>
                <w:szCs w:val="16"/>
                <w:lang w:val="es-ES_tradnl"/>
              </w:rPr>
              <w:t>Las habilidades asociadas al movimiento en el espacio físico y a la salud se conjugan en otro de los aspectos de esta competencia, el referido a la actividad física y al control del propio cuerpo.</w:t>
            </w:r>
          </w:p>
          <w:p w:rsidR="00C13D6D" w:rsidRPr="001F2739" w:rsidRDefault="00C13D6D">
            <w:pPr>
              <w:spacing w:before="60"/>
              <w:rPr>
                <w:rFonts w:ascii="Arial" w:hAnsi="Arial" w:cs="Arial"/>
                <w:b/>
                <w:sz w:val="16"/>
                <w:szCs w:val="16"/>
                <w:lang w:val="es-ES_tradnl"/>
              </w:rPr>
            </w:pPr>
          </w:p>
        </w:tc>
        <w:tc>
          <w:tcPr>
            <w:tcW w:w="3060" w:type="dxa"/>
          </w:tcPr>
          <w:p w:rsidR="00C13D6D" w:rsidRPr="001F2739" w:rsidRDefault="00C13D6D">
            <w:pPr>
              <w:spacing w:before="60"/>
              <w:rPr>
                <w:rFonts w:ascii="Arial" w:hAnsi="Arial" w:cs="Arial"/>
                <w:sz w:val="16"/>
                <w:szCs w:val="16"/>
                <w:lang w:val="es-ES_tradnl"/>
              </w:rPr>
            </w:pPr>
            <w:r w:rsidRPr="001F2739">
              <w:rPr>
                <w:rFonts w:ascii="Arial" w:hAnsi="Arial" w:cs="Arial"/>
                <w:sz w:val="16"/>
                <w:szCs w:val="16"/>
                <w:lang w:val="es-ES_tradnl"/>
              </w:rPr>
              <w:t>El desarrollo de esta competencia requiere el aprendizaje de los conceptos básicos que permiten el análisis de los fenómenos desde los diferentes campos de conocimiento científico involucrados en ella.</w:t>
            </w:r>
          </w:p>
          <w:p w:rsidR="00C13D6D" w:rsidRPr="001F2739" w:rsidRDefault="00C13D6D">
            <w:pPr>
              <w:spacing w:before="60"/>
              <w:rPr>
                <w:rFonts w:ascii="Arial" w:hAnsi="Arial" w:cs="Arial"/>
                <w:sz w:val="16"/>
                <w:szCs w:val="16"/>
                <w:lang w:val="es-ES_tradnl"/>
              </w:rPr>
            </w:pPr>
            <w:r w:rsidRPr="001F2739">
              <w:rPr>
                <w:rFonts w:ascii="Arial" w:hAnsi="Arial" w:cs="Arial"/>
                <w:sz w:val="16"/>
                <w:szCs w:val="16"/>
                <w:lang w:val="es-ES_tradnl"/>
              </w:rPr>
              <w:t>En el ámbito de esta competencia se encuentran los conceptos, de las diferentes dimensiones del ámbito científico-técnico, necesarios para la realización de los procesos propios del pensamiento científico y de las relaciones elementales entre ellos que permiten asociar las causas con los efectos y, en su caso, la cuantificación de unos y otros. Entre estos conceptos están las magnitudes físicas elementales, los asociados a las sustancias, sus características, los cambios en ellas y los efectos que pueden producir sobre las personas y sobre el medio ambiente.</w:t>
            </w:r>
          </w:p>
          <w:p w:rsidR="00C13D6D" w:rsidRPr="001F2739" w:rsidRDefault="00C13D6D">
            <w:pPr>
              <w:spacing w:before="60"/>
              <w:rPr>
                <w:rFonts w:ascii="Arial" w:hAnsi="Arial" w:cs="Arial"/>
                <w:sz w:val="16"/>
                <w:szCs w:val="16"/>
                <w:lang w:val="es-ES_tradnl"/>
              </w:rPr>
            </w:pPr>
            <w:r w:rsidRPr="001F2739">
              <w:rPr>
                <w:rFonts w:ascii="Arial" w:hAnsi="Arial" w:cs="Arial"/>
                <w:sz w:val="16"/>
                <w:szCs w:val="16"/>
                <w:lang w:val="es-ES_tradnl"/>
              </w:rPr>
              <w:t>Relacionado con lo anterior está también la comprensión de los procesos básicos mediante los cuales se producen las transformaciones en la naturaleza, espontáneas o inducidas (de sustancias, de formas de energía...) y el papel de los objetos técnicos y, en general, de las acciones humanas en esas transformaciones.</w:t>
            </w:r>
          </w:p>
          <w:p w:rsidR="00C13D6D" w:rsidRPr="001F2739" w:rsidRDefault="00C13D6D">
            <w:pPr>
              <w:spacing w:before="60"/>
              <w:rPr>
                <w:rFonts w:ascii="Arial" w:hAnsi="Arial" w:cs="Arial"/>
                <w:sz w:val="16"/>
                <w:szCs w:val="16"/>
                <w:lang w:val="es-ES_tradnl"/>
              </w:rPr>
            </w:pPr>
            <w:r w:rsidRPr="001F2739">
              <w:rPr>
                <w:rFonts w:ascii="Arial" w:hAnsi="Arial" w:cs="Arial"/>
                <w:sz w:val="16"/>
                <w:szCs w:val="16"/>
                <w:lang w:val="es-ES_tradnl"/>
              </w:rPr>
              <w:t>En particular, debe adquirirse un conocimiento suficiente de los diferentes componentes de un ecosistema y de las relaciones que se establecen y comprensión de los cambios que se producen en la naturaleza y en la dinámica de la tierra por la forma en la que interactúan los seres vivos entre sí y con el medio.</w:t>
            </w:r>
          </w:p>
          <w:p w:rsidR="00C13D6D" w:rsidRPr="001F2739" w:rsidRDefault="00C13D6D">
            <w:pPr>
              <w:spacing w:before="60"/>
              <w:rPr>
                <w:rFonts w:ascii="Arial" w:hAnsi="Arial" w:cs="Arial"/>
                <w:sz w:val="16"/>
                <w:szCs w:val="16"/>
                <w:lang w:val="es-ES_tradnl"/>
              </w:rPr>
            </w:pPr>
            <w:r w:rsidRPr="001F2739">
              <w:rPr>
                <w:rFonts w:ascii="Arial" w:hAnsi="Arial" w:cs="Arial"/>
                <w:sz w:val="16"/>
                <w:szCs w:val="16"/>
                <w:lang w:val="es-ES_tradnl"/>
              </w:rPr>
              <w:t>En relación con el propio cuerpo, es necesario el conocimiento de los beneficios para la salud de determinadas prácticas (ejercicio físico, seguridad, higiene) y de los riesgos de determinados hábitos dependientes de actividades profesionales o personales (formas de alimentación, prácticas antihigiénicas, consumo de sustancias tóxicas, etc.) y de los riesgos para el medio ambiente de determinadas actividades humanas.</w:t>
            </w:r>
          </w:p>
          <w:p w:rsidR="00C13D6D" w:rsidRPr="001F2739" w:rsidRDefault="00C13D6D">
            <w:pPr>
              <w:spacing w:before="60"/>
              <w:rPr>
                <w:rFonts w:ascii="Arial" w:hAnsi="Arial" w:cs="Arial"/>
                <w:sz w:val="16"/>
                <w:szCs w:val="16"/>
                <w:lang w:val="es-ES_tradnl"/>
              </w:rPr>
            </w:pPr>
            <w:r w:rsidRPr="001F2739">
              <w:rPr>
                <w:rFonts w:ascii="Arial" w:hAnsi="Arial" w:cs="Arial"/>
                <w:sz w:val="16"/>
                <w:szCs w:val="16"/>
                <w:lang w:val="es-ES_tradnl"/>
              </w:rPr>
              <w:t>En relación con el espacio, está asociado a esta competencia el conocimiento de los rasgos esenciales del espacio natural en el que se desarrolla la vida y la actividad humana, la interacción de las personas con ese espacio, la ocupación, utilización y ordenación, así como los paisajes geográficos resultantes.</w:t>
            </w:r>
          </w:p>
        </w:tc>
        <w:tc>
          <w:tcPr>
            <w:tcW w:w="2520" w:type="dxa"/>
          </w:tcPr>
          <w:p w:rsidR="00C13D6D" w:rsidRPr="001F2739" w:rsidRDefault="00C13D6D">
            <w:pPr>
              <w:pStyle w:val="Style1"/>
              <w:spacing w:before="120"/>
              <w:ind w:firstLine="0"/>
              <w:jc w:val="left"/>
              <w:rPr>
                <w:rFonts w:ascii="Arial" w:hAnsi="Arial" w:cs="Arial"/>
                <w:spacing w:val="3"/>
                <w:sz w:val="16"/>
                <w:szCs w:val="16"/>
                <w:lang w:val="es-ES_tradnl"/>
              </w:rPr>
            </w:pPr>
            <w:r w:rsidRPr="001F2739">
              <w:rPr>
                <w:rFonts w:ascii="Arial" w:hAnsi="Arial" w:cs="Arial"/>
                <w:spacing w:val="3"/>
                <w:sz w:val="16"/>
                <w:szCs w:val="16"/>
                <w:lang w:val="es-ES_tradnl"/>
              </w:rPr>
              <w:t>Entre las destrezas necesarias para alcanzar esta competencia destacan, por una parte las asociadas a la aplicación del pensamiento científico (plantear preguntas, formas de proceder, estrategias de evaluación, inferencias, etc.) y que permiten la comprensión y resolución de problemas sobre el mundo natural y lo tecnológico. Esto supone poner en juego procesos cognitivos más o menos complejos, tales como observar indirectamente, comparar en función de criterios no directamente observables o plantear hipótesis, con el objetivo de conocer mejor los fenómenos naturales y las máquinas y, en la medida de lo posible, predecir el comportamiento de unos y otras. Todo ello debe llevar a la explicación, utilizando criterios científicos, de algunos de los cambios más destacados que tienen lugar en la naturaleza, espontáneos o provocados.</w:t>
            </w:r>
          </w:p>
          <w:p w:rsidR="00C13D6D" w:rsidRPr="001F2739" w:rsidRDefault="00C13D6D">
            <w:pPr>
              <w:pStyle w:val="Style1"/>
              <w:spacing w:before="120"/>
              <w:ind w:firstLine="0"/>
              <w:jc w:val="left"/>
              <w:rPr>
                <w:rFonts w:ascii="Arial" w:hAnsi="Arial" w:cs="Arial"/>
                <w:spacing w:val="3"/>
                <w:sz w:val="16"/>
                <w:szCs w:val="16"/>
                <w:lang w:val="es-ES_tradnl"/>
              </w:rPr>
            </w:pPr>
            <w:r w:rsidRPr="001F2739">
              <w:rPr>
                <w:rFonts w:ascii="Arial" w:hAnsi="Arial" w:cs="Arial"/>
                <w:spacing w:val="3"/>
                <w:sz w:val="16"/>
                <w:szCs w:val="16"/>
                <w:lang w:val="es-ES_tradnl"/>
              </w:rPr>
              <w:t>Colaboran al desarrollo de esta competencia las destrezas asociadas a la localización y orientación, a la representación y a la obtención de información, cualitativa y cuantitativa, y a la resolución de problemas sobre el espacio físico y sobre los fenómenos que se producen en él. La habilidad con lo tecnológico requiere, además, destrezas asociadas a la planificación y manejo, siguiendo criterios de economía y eficacia, de soluciones técnicas para cubrir las necesidades habituales de la vida cotidiana y el mundo laboral.</w:t>
            </w:r>
          </w:p>
          <w:p w:rsidR="00C13D6D" w:rsidRPr="001F2739" w:rsidRDefault="00C13D6D">
            <w:pPr>
              <w:pStyle w:val="Style1"/>
              <w:spacing w:before="120"/>
              <w:ind w:firstLine="0"/>
              <w:jc w:val="left"/>
              <w:rPr>
                <w:rFonts w:ascii="Arial" w:hAnsi="Arial" w:cs="Arial"/>
                <w:spacing w:val="3"/>
                <w:sz w:val="16"/>
                <w:szCs w:val="16"/>
                <w:lang w:val="es-ES_tradnl"/>
              </w:rPr>
            </w:pPr>
            <w:r w:rsidRPr="001F2739">
              <w:rPr>
                <w:rFonts w:ascii="Arial" w:hAnsi="Arial" w:cs="Arial"/>
                <w:spacing w:val="3"/>
                <w:sz w:val="16"/>
                <w:szCs w:val="16"/>
                <w:lang w:val="es-ES_tradnl"/>
              </w:rPr>
              <w:t>Por último, se debe señalar todo el conjunto de destrezas asociadas al mantenimiento y mejora de la salud y la condición física propia, así como de la biodiversidad y las condiciones saludables del entorno.</w:t>
            </w:r>
          </w:p>
          <w:p w:rsidR="00C13D6D" w:rsidRPr="001F2739" w:rsidRDefault="00C13D6D">
            <w:pPr>
              <w:pStyle w:val="Style1"/>
              <w:spacing w:before="120"/>
              <w:ind w:firstLine="0"/>
              <w:jc w:val="left"/>
              <w:rPr>
                <w:rFonts w:ascii="Arial" w:hAnsi="Arial" w:cs="Arial"/>
                <w:spacing w:val="3"/>
                <w:sz w:val="16"/>
                <w:szCs w:val="16"/>
                <w:lang w:val="es-ES_tradnl"/>
              </w:rPr>
            </w:pPr>
          </w:p>
        </w:tc>
        <w:tc>
          <w:tcPr>
            <w:tcW w:w="1800" w:type="dxa"/>
          </w:tcPr>
          <w:p w:rsidR="00C13D6D" w:rsidRPr="001F2739" w:rsidRDefault="00C13D6D">
            <w:pPr>
              <w:spacing w:before="120"/>
              <w:rPr>
                <w:rFonts w:ascii="Arial" w:hAnsi="Arial" w:cs="Arial"/>
                <w:sz w:val="16"/>
                <w:szCs w:val="16"/>
                <w:lang w:val="es-ES_tradnl"/>
              </w:rPr>
            </w:pPr>
            <w:r w:rsidRPr="001F2739">
              <w:rPr>
                <w:rFonts w:ascii="Arial" w:hAnsi="Arial" w:cs="Arial"/>
                <w:sz w:val="16"/>
                <w:szCs w:val="16"/>
                <w:lang w:val="es-ES_tradnl"/>
              </w:rPr>
              <w:t>Las actitudes necesarias para alcanzar esta competencia están relacionadas con la valoración del conocimiento científico, de las formas de obtenerlo y de la información asociada a él, frente a las formas no científicas de acercamiento a la realidad. Asimismo es necesaria la valoración de las cuestiones éticas asociadas al conocimiento científico, al desarrollo tecnológico, a la relación de las personas con la naturaleza y al uso del propio cuerpo.</w:t>
            </w:r>
          </w:p>
          <w:p w:rsidR="00C13D6D" w:rsidRPr="001F2739" w:rsidRDefault="00C13D6D">
            <w:pPr>
              <w:spacing w:before="120"/>
              <w:rPr>
                <w:rFonts w:ascii="Arial" w:hAnsi="Arial" w:cs="Arial"/>
                <w:sz w:val="16"/>
                <w:szCs w:val="16"/>
                <w:lang w:val="es-ES_tradnl"/>
              </w:rPr>
            </w:pPr>
            <w:r w:rsidRPr="001F2739">
              <w:rPr>
                <w:rFonts w:ascii="Arial" w:hAnsi="Arial" w:cs="Arial"/>
                <w:sz w:val="16"/>
                <w:szCs w:val="16"/>
                <w:lang w:val="es-ES_tradnl"/>
              </w:rPr>
              <w:t>Colaboran asimismo a esta competencia determinadas actitudes en relación con el entorno natural, como el uso responsable de los recursos naturales, la conservación del medio ambiente y de la diversidad de la Tierra y la valoración de la incidencia de la acción humana en la biosfera. Además, en el ámbito de la salud son esenciales también las actitudes asociadas al mantenimiento de un régimen de vida saludable, a una adecuada alimentación y al rechazo al consumo de sustancias nocivas.</w:t>
            </w:r>
          </w:p>
          <w:p w:rsidR="00C13D6D" w:rsidRPr="001F2739" w:rsidRDefault="00C13D6D">
            <w:pPr>
              <w:spacing w:before="120"/>
              <w:rPr>
                <w:rFonts w:ascii="Arial" w:hAnsi="Arial" w:cs="Arial"/>
                <w:sz w:val="16"/>
                <w:szCs w:val="16"/>
                <w:lang w:val="es-ES_tradnl"/>
              </w:rPr>
            </w:pPr>
          </w:p>
        </w:tc>
      </w:tr>
    </w:tbl>
    <w:p w:rsidR="0017538B" w:rsidRPr="00C13D6D" w:rsidRDefault="00C13D6D" w:rsidP="00C13D6D"/>
    <w:sectPr w:rsidR="0017538B" w:rsidRPr="00C13D6D" w:rsidSect="00D4683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F6D31"/>
    <w:rsid w:val="00C13D6D"/>
    <w:rsid w:val="00CF6D31"/>
    <w:rsid w:val="00D7340C"/>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D31"/>
    <w:rPr>
      <w:rFonts w:ascii="Times New Roman" w:eastAsia="Times New Roman" w:hAnsi="Times New Roman" w:cs="Times New Roman"/>
      <w:sz w:val="24"/>
      <w:szCs w:val="24"/>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Style1">
    <w:name w:val="Style 1"/>
    <w:basedOn w:val="Normal"/>
    <w:rsid w:val="00CF6D31"/>
    <w:pPr>
      <w:widowControl w:val="0"/>
      <w:ind w:firstLine="720"/>
      <w:jc w:val="both"/>
    </w:pPr>
    <w:rPr>
      <w:szCs w:val="20"/>
      <w:lang w:val="en-US"/>
    </w:rPr>
  </w:style>
  <w:style w:type="paragraph" w:customStyle="1" w:styleId="Pa6">
    <w:name w:val="Pa6"/>
    <w:basedOn w:val="Normal"/>
    <w:next w:val="Normal"/>
    <w:rsid w:val="00CF6D31"/>
    <w:pPr>
      <w:autoSpaceDE w:val="0"/>
      <w:autoSpaceDN w:val="0"/>
      <w:adjustRightInd w:val="0"/>
      <w:spacing w:after="40" w:line="181" w:lineRule="atLeast"/>
    </w:pPr>
    <w:rPr>
      <w:rFonts w:ascii="Futura Std Light" w:hAnsi="Futura Std Ligh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Office 2004 Test Drive</dc:creator>
  <cp:keywords/>
  <cp:lastModifiedBy>Usuario de Office 2004 Test Drive</cp:lastModifiedBy>
  <cp:revision>2</cp:revision>
  <dcterms:created xsi:type="dcterms:W3CDTF">2011-11-12T11:25:00Z</dcterms:created>
  <dcterms:modified xsi:type="dcterms:W3CDTF">2011-11-12T11:25:00Z</dcterms:modified>
</cp:coreProperties>
</file>