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00"/>
        <w:gridCol w:w="1980"/>
        <w:gridCol w:w="3060"/>
        <w:gridCol w:w="1980"/>
      </w:tblGrid>
      <w:tr w:rsidR="00D7340C" w:rsidRPr="001F2739" w:rsidTr="000C28FC">
        <w:tc>
          <w:tcPr>
            <w:tcW w:w="360" w:type="dxa"/>
            <w:shd w:val="clear" w:color="auto" w:fill="F3F3F3"/>
          </w:tcPr>
          <w:p w:rsidR="00D7340C" w:rsidRPr="001F2739" w:rsidRDefault="00D7340C" w:rsidP="007777B1">
            <w:pPr>
              <w:spacing w:before="120" w:after="120"/>
              <w:rPr>
                <w:rFonts w:ascii="Arial" w:hAnsi="Arial" w:cs="Arial"/>
                <w:b/>
                <w:sz w:val="16"/>
                <w:szCs w:val="16"/>
              </w:rPr>
            </w:pPr>
          </w:p>
        </w:tc>
        <w:tc>
          <w:tcPr>
            <w:tcW w:w="3600" w:type="dxa"/>
            <w:shd w:val="clear" w:color="auto" w:fill="C0C0C0"/>
          </w:tcPr>
          <w:p w:rsidR="00D7340C" w:rsidRPr="001F2739" w:rsidRDefault="00D7340C">
            <w:pPr>
              <w:spacing w:before="120" w:after="120"/>
              <w:jc w:val="center"/>
              <w:rPr>
                <w:rFonts w:ascii="Arial" w:hAnsi="Arial" w:cs="Arial"/>
                <w:b/>
                <w:sz w:val="16"/>
                <w:szCs w:val="16"/>
              </w:rPr>
            </w:pPr>
            <w:r w:rsidRPr="001F2739">
              <w:rPr>
                <w:rFonts w:ascii="Arial" w:hAnsi="Arial" w:cs="Arial"/>
                <w:b/>
                <w:sz w:val="16"/>
                <w:szCs w:val="16"/>
              </w:rPr>
              <w:t>Definición y finalidad de la competencia</w:t>
            </w:r>
          </w:p>
        </w:tc>
        <w:tc>
          <w:tcPr>
            <w:tcW w:w="1980" w:type="dxa"/>
            <w:shd w:val="clear" w:color="auto" w:fill="C0C0C0"/>
          </w:tcPr>
          <w:p w:rsidR="00D7340C" w:rsidRPr="001F2739" w:rsidRDefault="00D7340C">
            <w:pPr>
              <w:tabs>
                <w:tab w:val="center" w:pos="2280"/>
              </w:tabs>
              <w:spacing w:before="120" w:after="120"/>
              <w:jc w:val="center"/>
              <w:rPr>
                <w:rFonts w:ascii="Arial" w:hAnsi="Arial" w:cs="Arial"/>
                <w:b/>
                <w:sz w:val="16"/>
                <w:szCs w:val="16"/>
              </w:rPr>
            </w:pPr>
            <w:r w:rsidRPr="001F2739">
              <w:rPr>
                <w:rFonts w:ascii="Arial" w:hAnsi="Arial" w:cs="Arial"/>
                <w:b/>
                <w:sz w:val="16"/>
                <w:szCs w:val="16"/>
              </w:rPr>
              <w:t>Conocimientos</w:t>
            </w:r>
          </w:p>
        </w:tc>
        <w:tc>
          <w:tcPr>
            <w:tcW w:w="3060" w:type="dxa"/>
            <w:shd w:val="clear" w:color="auto" w:fill="C0C0C0"/>
          </w:tcPr>
          <w:p w:rsidR="00D7340C" w:rsidRPr="001F2739" w:rsidRDefault="00D7340C">
            <w:pPr>
              <w:spacing w:before="120" w:after="120"/>
              <w:jc w:val="center"/>
              <w:rPr>
                <w:rFonts w:ascii="Arial" w:hAnsi="Arial" w:cs="Arial"/>
                <w:b/>
                <w:sz w:val="16"/>
                <w:szCs w:val="16"/>
              </w:rPr>
            </w:pPr>
            <w:r w:rsidRPr="001F2739">
              <w:rPr>
                <w:rFonts w:ascii="Arial" w:hAnsi="Arial" w:cs="Arial"/>
                <w:b/>
                <w:sz w:val="16"/>
                <w:szCs w:val="16"/>
              </w:rPr>
              <w:t>Destrezas</w:t>
            </w:r>
          </w:p>
        </w:tc>
        <w:tc>
          <w:tcPr>
            <w:tcW w:w="1980" w:type="dxa"/>
            <w:shd w:val="clear" w:color="auto" w:fill="C0C0C0"/>
          </w:tcPr>
          <w:p w:rsidR="00D7340C" w:rsidRPr="001F2739" w:rsidRDefault="00D7340C">
            <w:pPr>
              <w:spacing w:before="120" w:after="120"/>
              <w:jc w:val="center"/>
              <w:rPr>
                <w:rFonts w:ascii="Arial" w:hAnsi="Arial" w:cs="Arial"/>
                <w:b/>
                <w:sz w:val="16"/>
                <w:szCs w:val="16"/>
              </w:rPr>
            </w:pPr>
            <w:r w:rsidRPr="001F2739">
              <w:rPr>
                <w:rFonts w:ascii="Arial" w:hAnsi="Arial" w:cs="Arial"/>
                <w:b/>
                <w:sz w:val="16"/>
                <w:szCs w:val="16"/>
              </w:rPr>
              <w:t>Actitudes</w:t>
            </w:r>
          </w:p>
        </w:tc>
      </w:tr>
      <w:tr w:rsidR="00D7340C" w:rsidRPr="001F2739" w:rsidTr="000C28FC">
        <w:trPr>
          <w:cantSplit/>
          <w:trHeight w:val="7341"/>
        </w:trPr>
        <w:tc>
          <w:tcPr>
            <w:tcW w:w="360" w:type="dxa"/>
            <w:shd w:val="clear" w:color="auto" w:fill="F3F3F3"/>
            <w:textDirection w:val="btLr"/>
            <w:vAlign w:val="center"/>
          </w:tcPr>
          <w:p w:rsidR="00D7340C" w:rsidRPr="001F2739" w:rsidRDefault="00D7340C" w:rsidP="007777B1">
            <w:pPr>
              <w:spacing w:before="120"/>
              <w:ind w:left="113" w:right="113"/>
              <w:jc w:val="center"/>
              <w:rPr>
                <w:rFonts w:ascii="Arial" w:hAnsi="Arial" w:cs="Arial"/>
                <w:b/>
                <w:sz w:val="16"/>
                <w:szCs w:val="16"/>
              </w:rPr>
            </w:pPr>
            <w:r w:rsidRPr="001F2739">
              <w:rPr>
                <w:rFonts w:ascii="Arial" w:hAnsi="Arial" w:cs="Arial"/>
                <w:b/>
                <w:sz w:val="16"/>
                <w:szCs w:val="16"/>
              </w:rPr>
              <w:t>Matemática</w:t>
            </w:r>
          </w:p>
        </w:tc>
        <w:tc>
          <w:tcPr>
            <w:tcW w:w="3600" w:type="dxa"/>
          </w:tcPr>
          <w:p w:rsidR="00D7340C" w:rsidRPr="001F2739" w:rsidRDefault="00D7340C">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Habilidad para utilizar y relacionar los números, sus operaciones básicas, los símbolos y las formas de expresión y razonamiento matemático tanto para producir e interpretar distintos tipos de información, como para ampliar el conocimiento sobre aspectos cuantitativos y espaciales de la realidad y para resolver problemas relacionados con la vida cotidiana y el mundo laboral.</w:t>
            </w:r>
          </w:p>
          <w:p w:rsidR="00D7340C" w:rsidRPr="001F2739" w:rsidRDefault="00D7340C">
            <w:pPr>
              <w:pStyle w:val="Style1"/>
              <w:spacing w:before="40"/>
              <w:ind w:firstLine="0"/>
              <w:jc w:val="left"/>
              <w:rPr>
                <w:rFonts w:ascii="Arial" w:hAnsi="Arial" w:cs="Arial"/>
                <w:b/>
                <w:spacing w:val="3"/>
                <w:sz w:val="16"/>
                <w:szCs w:val="16"/>
                <w:lang w:val="es-ES_tradnl"/>
              </w:rPr>
            </w:pPr>
          </w:p>
          <w:p w:rsidR="00D7340C" w:rsidRPr="001F2739" w:rsidRDefault="00D7340C">
            <w:pPr>
              <w:pStyle w:val="Style1"/>
              <w:spacing w:before="40"/>
              <w:ind w:firstLine="0"/>
              <w:jc w:val="left"/>
              <w:rPr>
                <w:rFonts w:ascii="Arial" w:hAnsi="Arial" w:cs="Arial"/>
                <w:b/>
                <w:spacing w:val="3"/>
                <w:sz w:val="16"/>
                <w:szCs w:val="16"/>
                <w:lang w:val="es-ES_tradnl"/>
              </w:rPr>
            </w:pPr>
            <w:r w:rsidRPr="001F2739">
              <w:rPr>
                <w:rFonts w:ascii="Arial" w:hAnsi="Arial" w:cs="Arial"/>
                <w:b/>
                <w:spacing w:val="3"/>
                <w:sz w:val="16"/>
                <w:szCs w:val="16"/>
                <w:lang w:val="es-ES_tradnl"/>
              </w:rPr>
              <w:t>Finalidad</w:t>
            </w:r>
          </w:p>
          <w:p w:rsidR="00D7340C" w:rsidRPr="001F2739" w:rsidRDefault="00D7340C">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Forma parte de la competencia matemática la habilidad para interpretar y expre</w:t>
            </w:r>
            <w:r w:rsidRPr="001F2739">
              <w:rPr>
                <w:rFonts w:ascii="Arial" w:hAnsi="Arial" w:cs="Arial"/>
                <w:color w:val="000000"/>
                <w:sz w:val="16"/>
                <w:szCs w:val="16"/>
              </w:rPr>
              <w:softHyphen/>
              <w:t>sar con claridad y precisión informaciones, datos y argumentaciones, lo que aumenta la posibilidad real de seguir aprendiendo a lo largo de la vida, tanto en el ámbito escolar o académico como fuera de él, y favorece la participación efectiva en la vida social.</w:t>
            </w:r>
          </w:p>
          <w:p w:rsidR="00D7340C" w:rsidRPr="001F2739" w:rsidRDefault="00D7340C">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Esta competencia cobra realidad y sentido en la medida que los elementos y ra</w:t>
            </w:r>
            <w:r w:rsidRPr="001F2739">
              <w:rPr>
                <w:rFonts w:ascii="Arial" w:hAnsi="Arial" w:cs="Arial"/>
                <w:color w:val="000000"/>
                <w:sz w:val="16"/>
                <w:szCs w:val="16"/>
              </w:rPr>
              <w:softHyphen/>
              <w:t>zonamientos matemáticos son utilizados para enfrentarse a aquellas situaciones cotidianas que los precisan. Por tanto, la identificación de tales situaciones, la aplicación de estrate</w:t>
            </w:r>
            <w:r w:rsidRPr="001F2739">
              <w:rPr>
                <w:rFonts w:ascii="Arial" w:hAnsi="Arial" w:cs="Arial"/>
                <w:color w:val="000000"/>
                <w:sz w:val="16"/>
                <w:szCs w:val="16"/>
              </w:rPr>
              <w:softHyphen/>
              <w:t>gias de resolución de problemas, y la selección de las técnicas adecuadas para calcular, representar e interpretar la realidad a partir de la información disponible están incluidas en ella.  En definitiva, la posibilidad real de utilizar la actividad matemática en contextos tan variados como sea posible. Por ello, su desarrollo en la educación obligatoria se alcanzará en la medida en que los conocimientos matemáticos se apliquen de manera espontánea a una amplia variedad de situaciones, provenientes de otros campos de conocimiento y de la vida cotidiana.</w:t>
            </w:r>
          </w:p>
          <w:p w:rsidR="00D7340C" w:rsidRPr="001F2739" w:rsidRDefault="00D7340C">
            <w:pPr>
              <w:pStyle w:val="Style1"/>
              <w:spacing w:before="40"/>
              <w:ind w:firstLine="0"/>
              <w:jc w:val="left"/>
              <w:rPr>
                <w:rFonts w:ascii="Arial" w:hAnsi="Arial" w:cs="Arial"/>
                <w:spacing w:val="3"/>
                <w:sz w:val="16"/>
                <w:szCs w:val="16"/>
                <w:lang w:val="es-ES"/>
              </w:rPr>
            </w:pPr>
          </w:p>
        </w:tc>
        <w:tc>
          <w:tcPr>
            <w:tcW w:w="1980" w:type="dxa"/>
          </w:tcPr>
          <w:p w:rsidR="00D7340C" w:rsidRPr="001F2739" w:rsidRDefault="00D7340C">
            <w:pPr>
              <w:pStyle w:val="Style1"/>
              <w:spacing w:before="120"/>
              <w:ind w:firstLine="0"/>
              <w:jc w:val="left"/>
              <w:rPr>
                <w:rFonts w:ascii="Arial" w:hAnsi="Arial" w:cs="Arial"/>
                <w:spacing w:val="3"/>
                <w:sz w:val="16"/>
                <w:szCs w:val="16"/>
                <w:lang w:val="es-ES"/>
              </w:rPr>
            </w:pPr>
            <w:r w:rsidRPr="001F2739">
              <w:rPr>
                <w:rFonts w:ascii="Arial" w:hAnsi="Arial" w:cs="Arial"/>
                <w:sz w:val="16"/>
                <w:szCs w:val="16"/>
                <w:lang w:val="es-ES"/>
              </w:rPr>
              <w:t xml:space="preserve">Implica el conocimiento y manejo de los elementos matemáticos básicos (distintos tipos de números, medidas, símbolos, elementos geométricos, etc.)  en situaciones reales o simuladas de la vida cotidiana, </w:t>
            </w:r>
            <w:r w:rsidRPr="001F2739">
              <w:rPr>
                <w:rFonts w:ascii="Arial" w:hAnsi="Arial" w:cs="Arial"/>
                <w:color w:val="000000"/>
                <w:sz w:val="16"/>
                <w:szCs w:val="16"/>
                <w:lang w:val="es-ES"/>
              </w:rPr>
              <w:t>y la puesta en práctica de procesos de razonamiento que llevan a la solución de los problemas o a la obtención de información.</w:t>
            </w:r>
          </w:p>
        </w:tc>
        <w:tc>
          <w:tcPr>
            <w:tcW w:w="3060" w:type="dxa"/>
          </w:tcPr>
          <w:p w:rsidR="00D7340C" w:rsidRPr="001F2739" w:rsidRDefault="00D7340C">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Destrezas necesarias para aplicar los principios y los procesos matemáticos básicos en situaciones cotidianas del ámbito personal, social y laboral, para seguir y valorar cadenas argumentales, identificando las ideas fundamentales, y estimar y enjuiciar la lógica y validez de argumentaciones e informaciones.</w:t>
            </w:r>
          </w:p>
          <w:p w:rsidR="00D7340C" w:rsidRPr="001F2739" w:rsidRDefault="00D7340C">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Habilidad para seguir determinados procesos de pensamiento (como la inducción y la deducción, entre otros) y para aplicar algunos algoritmos de cálculo o elementos de la lógica, lo que conduce a identificar la validez de los razonamientos y a valorar el grado de certeza asociado a los resultados derivados de los razonamientos válidos.</w:t>
            </w:r>
          </w:p>
          <w:p w:rsidR="00D7340C" w:rsidRPr="001F2739" w:rsidRDefault="00D7340C">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El desarrollo de la competencia matemática al final de la educación obligatoria, conlleva utilizar espontáneamente, en los ámbitos personal y social, los elementos y razo</w:t>
            </w:r>
            <w:r w:rsidRPr="001F2739">
              <w:rPr>
                <w:rFonts w:ascii="Arial" w:hAnsi="Arial" w:cs="Arial"/>
                <w:color w:val="000000"/>
                <w:sz w:val="16"/>
                <w:szCs w:val="16"/>
              </w:rPr>
              <w:softHyphen/>
              <w:t>namientos matemáticos para interpretar y producir información, para resolver problemas provenientes de situaciones cotidianas y para tomar decisiones. En definitiva, supone apli</w:t>
            </w:r>
            <w:r w:rsidRPr="001F2739">
              <w:rPr>
                <w:rFonts w:ascii="Arial" w:hAnsi="Arial" w:cs="Arial"/>
                <w:color w:val="000000"/>
                <w:sz w:val="16"/>
                <w:szCs w:val="16"/>
              </w:rPr>
              <w:softHyphen/>
              <w:t>car aquellas destrezas y actitudes que permiten razonar matemáticamente, comprender una argumentación matemática y expresarse y comunicarse en el lenguaje matemático, utilizando las herramientas de apoyo adecuadas, e integrando el conocimiento matemático con otros tipos de conocimiento para dar una mejor respuesta a las situaciones de la vida de distinto nivel de complejidad.</w:t>
            </w:r>
          </w:p>
          <w:p w:rsidR="00D7340C" w:rsidRPr="001F2739" w:rsidRDefault="00D7340C">
            <w:pPr>
              <w:pStyle w:val="Style1"/>
              <w:spacing w:before="120"/>
              <w:ind w:firstLine="0"/>
              <w:jc w:val="left"/>
              <w:rPr>
                <w:rFonts w:ascii="Arial" w:hAnsi="Arial" w:cs="Arial"/>
                <w:spacing w:val="3"/>
                <w:sz w:val="16"/>
                <w:szCs w:val="16"/>
                <w:lang w:val="es-ES"/>
              </w:rPr>
            </w:pPr>
          </w:p>
        </w:tc>
        <w:tc>
          <w:tcPr>
            <w:tcW w:w="1980" w:type="dxa"/>
          </w:tcPr>
          <w:p w:rsidR="00D7340C" w:rsidRPr="001F2739" w:rsidRDefault="00D7340C">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 xml:space="preserve">Disposición favorable y de progresiva seguridad y confianza hacia la información y las situaciones (problemas, incógnitas, etc.) que contienen elementos o soportes matemáticos, así como hacia su utilización cuando la situación lo aconseja, basadas en el respeto y el gusto por la certeza y en su búsqueda a través del razonamiento. </w:t>
            </w:r>
          </w:p>
          <w:p w:rsidR="00D7340C" w:rsidRPr="001F2739" w:rsidRDefault="00D7340C">
            <w:pPr>
              <w:spacing w:before="120"/>
              <w:rPr>
                <w:rFonts w:ascii="Arial" w:hAnsi="Arial" w:cs="Arial"/>
                <w:sz w:val="16"/>
                <w:szCs w:val="16"/>
              </w:rPr>
            </w:pPr>
          </w:p>
        </w:tc>
      </w:tr>
    </w:tbl>
    <w:p w:rsidR="00D7340C" w:rsidRPr="001F2739" w:rsidRDefault="00D7340C" w:rsidP="00D7340C">
      <w:pPr>
        <w:spacing w:before="120"/>
        <w:rPr>
          <w:rFonts w:ascii="Arial" w:hAnsi="Arial" w:cs="Arial"/>
          <w:sz w:val="16"/>
          <w:szCs w:val="16"/>
        </w:rPr>
      </w:pPr>
    </w:p>
    <w:p w:rsidR="00CF6D31" w:rsidRPr="001F2739" w:rsidRDefault="00CF6D31" w:rsidP="00CF6D31">
      <w:pPr>
        <w:spacing w:before="120"/>
        <w:rPr>
          <w:rFonts w:ascii="Arial" w:hAnsi="Arial" w:cs="Arial"/>
          <w:sz w:val="16"/>
          <w:szCs w:val="16"/>
        </w:rPr>
      </w:pPr>
    </w:p>
    <w:p w:rsidR="0017538B" w:rsidRDefault="00D7340C"/>
    <w:sectPr w:rsidR="0017538B" w:rsidSect="00D4683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6D31"/>
    <w:rsid w:val="00CF6D31"/>
    <w:rsid w:val="00D7340C"/>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31"/>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tyle1">
    <w:name w:val="Style 1"/>
    <w:basedOn w:val="Normal"/>
    <w:rsid w:val="00CF6D31"/>
    <w:pPr>
      <w:widowControl w:val="0"/>
      <w:ind w:firstLine="720"/>
      <w:jc w:val="both"/>
    </w:pPr>
    <w:rPr>
      <w:szCs w:val="20"/>
      <w:lang w:val="en-US"/>
    </w:rPr>
  </w:style>
  <w:style w:type="paragraph" w:customStyle="1" w:styleId="Pa6">
    <w:name w:val="Pa6"/>
    <w:basedOn w:val="Normal"/>
    <w:next w:val="Normal"/>
    <w:rsid w:val="00CF6D31"/>
    <w:pPr>
      <w:autoSpaceDE w:val="0"/>
      <w:autoSpaceDN w:val="0"/>
      <w:adjustRightInd w:val="0"/>
      <w:spacing w:after="40" w:line="181" w:lineRule="atLeast"/>
    </w:pPr>
    <w:rPr>
      <w:rFonts w:ascii="Futura Std Light" w:hAnsi="Futura Std Ligh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Usuario de Office 2004 Test Drive</cp:lastModifiedBy>
  <cp:revision>2</cp:revision>
  <dcterms:created xsi:type="dcterms:W3CDTF">2011-11-12T11:24:00Z</dcterms:created>
  <dcterms:modified xsi:type="dcterms:W3CDTF">2011-11-12T11:24:00Z</dcterms:modified>
</cp:coreProperties>
</file>