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542" w:rsidRPr="00467542" w:rsidRDefault="00467542" w:rsidP="00467542">
      <w:pPr>
        <w:pStyle w:val="Prrafodelista"/>
        <w:numPr>
          <w:ilvl w:val="0"/>
          <w:numId w:val="15"/>
        </w:numPr>
        <w:autoSpaceDE w:val="0"/>
        <w:autoSpaceDN w:val="0"/>
        <w:adjustRightInd w:val="0"/>
        <w:spacing w:after="0" w:line="240" w:lineRule="auto"/>
        <w:jc w:val="both"/>
        <w:rPr>
          <w:rFonts w:ascii="Arial" w:hAnsi="Arial" w:cs="Arial"/>
          <w:sz w:val="24"/>
          <w:szCs w:val="24"/>
        </w:rPr>
      </w:pPr>
      <w:r w:rsidRPr="00467542">
        <w:rPr>
          <w:rFonts w:ascii="Arial" w:hAnsi="Arial" w:cs="Arial"/>
          <w:sz w:val="24"/>
          <w:szCs w:val="24"/>
        </w:rPr>
        <w:t>En otro punto determinar las técnicas estadísticas concretas que van a utilizar y desarrollar de acuerdo al programa de mantenimiento que plantea el grupo. Solo plantee dos. Y dos indicadores y sustente por qué para esa empresa es útil esa técnica y ese indicador.</w:t>
      </w:r>
    </w:p>
    <w:p w:rsidR="00467542" w:rsidRPr="0059210E" w:rsidRDefault="00467542" w:rsidP="00467542">
      <w:pPr>
        <w:pStyle w:val="Prrafodelista"/>
        <w:autoSpaceDE w:val="0"/>
        <w:autoSpaceDN w:val="0"/>
        <w:adjustRightInd w:val="0"/>
        <w:spacing w:after="0" w:line="240" w:lineRule="auto"/>
        <w:ind w:left="360"/>
        <w:jc w:val="both"/>
        <w:rPr>
          <w:rFonts w:ascii="Arial" w:hAnsi="Arial" w:cs="Arial"/>
          <w:sz w:val="24"/>
          <w:szCs w:val="24"/>
        </w:rPr>
      </w:pPr>
    </w:p>
    <w:p w:rsidR="00467542" w:rsidRPr="00F72DFC" w:rsidRDefault="00467542" w:rsidP="00467542">
      <w:pPr>
        <w:pStyle w:val="Prrafodelista"/>
        <w:numPr>
          <w:ilvl w:val="0"/>
          <w:numId w:val="14"/>
        </w:numPr>
        <w:autoSpaceDE w:val="0"/>
        <w:autoSpaceDN w:val="0"/>
        <w:adjustRightInd w:val="0"/>
        <w:spacing w:after="0" w:line="240" w:lineRule="auto"/>
        <w:jc w:val="both"/>
        <w:rPr>
          <w:rFonts w:ascii="Arial" w:hAnsi="Arial" w:cs="Arial"/>
          <w:sz w:val="24"/>
          <w:szCs w:val="24"/>
          <w:u w:val="single"/>
        </w:rPr>
      </w:pPr>
      <w:r w:rsidRPr="00F72DFC">
        <w:rPr>
          <w:rFonts w:ascii="Arial" w:hAnsi="Arial" w:cs="Arial"/>
          <w:sz w:val="24"/>
          <w:szCs w:val="24"/>
          <w:u w:val="single"/>
        </w:rPr>
        <w:t>Cursogramas Sinópticos:</w:t>
      </w:r>
    </w:p>
    <w:p w:rsidR="00467542" w:rsidRPr="00F72DFC" w:rsidRDefault="00467542" w:rsidP="00467542">
      <w:pPr>
        <w:autoSpaceDE w:val="0"/>
        <w:autoSpaceDN w:val="0"/>
        <w:adjustRightInd w:val="0"/>
        <w:spacing w:after="0" w:line="240" w:lineRule="auto"/>
        <w:jc w:val="both"/>
        <w:rPr>
          <w:rFonts w:ascii="Arial" w:hAnsi="Arial" w:cs="Arial"/>
          <w:sz w:val="24"/>
          <w:szCs w:val="24"/>
        </w:rPr>
      </w:pPr>
    </w:p>
    <w:p w:rsidR="00467542" w:rsidRPr="00F72DFC" w:rsidRDefault="00467542" w:rsidP="00467542">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4076065</wp:posOffset>
            </wp:positionH>
            <wp:positionV relativeFrom="paragraph">
              <wp:posOffset>2540</wp:posOffset>
            </wp:positionV>
            <wp:extent cx="1868170" cy="1203960"/>
            <wp:effectExtent l="19050" t="0" r="0" b="0"/>
            <wp:wrapTight wrapText="bothSides">
              <wp:wrapPolygon edited="0">
                <wp:start x="-220" y="0"/>
                <wp:lineTo x="-220" y="21190"/>
                <wp:lineTo x="21585" y="21190"/>
                <wp:lineTo x="21585" y="0"/>
                <wp:lineTo x="-220" y="0"/>
              </wp:wrapPolygon>
            </wp:wrapTight>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68170" cy="1203960"/>
                    </a:xfrm>
                    <a:prstGeom prst="rect">
                      <a:avLst/>
                    </a:prstGeom>
                  </pic:spPr>
                </pic:pic>
              </a:graphicData>
            </a:graphic>
          </wp:anchor>
        </w:drawing>
      </w:r>
      <w:r w:rsidRPr="00F72DFC">
        <w:rPr>
          <w:rFonts w:ascii="Arial" w:hAnsi="Arial" w:cs="Arial"/>
          <w:sz w:val="24"/>
          <w:szCs w:val="24"/>
        </w:rPr>
        <w:t>Muestra las principales operaciones e inspecciones registrando su duración en horas sin tener en cuenta quién la ejecuta ni el centro de trabajo asociado. Además con este instrumento se pretende mostrar los puntos de ensamble de las diferentes familias de productos (previamente agrupadas según procesos y geometrías similares).</w:t>
      </w:r>
    </w:p>
    <w:p w:rsidR="00467542" w:rsidRPr="00F72DFC" w:rsidRDefault="00467542" w:rsidP="00467542">
      <w:pPr>
        <w:autoSpaceDE w:val="0"/>
        <w:autoSpaceDN w:val="0"/>
        <w:adjustRightInd w:val="0"/>
        <w:spacing w:after="0" w:line="240" w:lineRule="auto"/>
        <w:jc w:val="both"/>
        <w:rPr>
          <w:rFonts w:ascii="Arial" w:hAnsi="Arial" w:cs="Arial"/>
          <w:sz w:val="24"/>
          <w:szCs w:val="24"/>
        </w:rPr>
      </w:pPr>
    </w:p>
    <w:p w:rsidR="00467542" w:rsidRPr="00F72DFC" w:rsidRDefault="00467542" w:rsidP="00467542">
      <w:pPr>
        <w:autoSpaceDE w:val="0"/>
        <w:autoSpaceDN w:val="0"/>
        <w:adjustRightInd w:val="0"/>
        <w:spacing w:after="0" w:line="240" w:lineRule="auto"/>
        <w:jc w:val="both"/>
        <w:rPr>
          <w:rFonts w:ascii="Arial" w:hAnsi="Arial" w:cs="Arial"/>
          <w:sz w:val="24"/>
          <w:szCs w:val="24"/>
        </w:rPr>
      </w:pPr>
      <w:r w:rsidRPr="00F72DFC">
        <w:rPr>
          <w:rFonts w:ascii="Arial" w:hAnsi="Arial" w:cs="Arial"/>
          <w:sz w:val="24"/>
          <w:szCs w:val="24"/>
        </w:rPr>
        <w:t>Gracias a la utilización de esta herramienta es posible visualizar y relacionar los resultados necesarios para la implementación del modelo MRP que asocia los procesos del producto padre con los de las demás piezas que lo componen registrando sus ensambles y sub-ensambles.</w:t>
      </w:r>
    </w:p>
    <w:p w:rsidR="00467542" w:rsidRPr="00F72DFC" w:rsidRDefault="00467542" w:rsidP="00467542">
      <w:pPr>
        <w:autoSpaceDE w:val="0"/>
        <w:autoSpaceDN w:val="0"/>
        <w:adjustRightInd w:val="0"/>
        <w:spacing w:after="0" w:line="240" w:lineRule="auto"/>
        <w:jc w:val="both"/>
        <w:rPr>
          <w:rFonts w:ascii="Arial" w:hAnsi="Arial" w:cs="Arial"/>
          <w:sz w:val="24"/>
          <w:szCs w:val="24"/>
        </w:rPr>
      </w:pPr>
    </w:p>
    <w:p w:rsidR="00467542" w:rsidRPr="00F72DFC" w:rsidRDefault="00467542" w:rsidP="00467542">
      <w:pPr>
        <w:pStyle w:val="Prrafodelista"/>
        <w:numPr>
          <w:ilvl w:val="0"/>
          <w:numId w:val="14"/>
        </w:numPr>
        <w:autoSpaceDE w:val="0"/>
        <w:autoSpaceDN w:val="0"/>
        <w:adjustRightInd w:val="0"/>
        <w:spacing w:after="0" w:line="240" w:lineRule="auto"/>
        <w:jc w:val="both"/>
        <w:rPr>
          <w:rFonts w:ascii="Arial" w:hAnsi="Arial" w:cs="Arial"/>
          <w:sz w:val="24"/>
          <w:szCs w:val="24"/>
          <w:u w:val="single"/>
        </w:rPr>
      </w:pPr>
      <w:r w:rsidRPr="00F72DFC">
        <w:rPr>
          <w:rFonts w:ascii="Arial" w:hAnsi="Arial" w:cs="Arial"/>
          <w:sz w:val="24"/>
          <w:szCs w:val="24"/>
          <w:u w:val="single"/>
        </w:rPr>
        <w:t>Diagramas de Recorrido:</w:t>
      </w:r>
    </w:p>
    <w:p w:rsidR="00467542" w:rsidRPr="00F72DFC" w:rsidRDefault="00467542" w:rsidP="00467542">
      <w:pPr>
        <w:autoSpaceDE w:val="0"/>
        <w:autoSpaceDN w:val="0"/>
        <w:adjustRightInd w:val="0"/>
        <w:spacing w:after="0" w:line="240" w:lineRule="auto"/>
        <w:jc w:val="both"/>
        <w:rPr>
          <w:rFonts w:ascii="Arial" w:hAnsi="Arial" w:cs="Arial"/>
          <w:sz w:val="24"/>
          <w:szCs w:val="24"/>
        </w:rPr>
      </w:pPr>
    </w:p>
    <w:p w:rsidR="00467542" w:rsidRPr="00F72DFC" w:rsidRDefault="00467542" w:rsidP="00467542">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simplePos x="0" y="0"/>
            <wp:positionH relativeFrom="column">
              <wp:posOffset>3478530</wp:posOffset>
            </wp:positionH>
            <wp:positionV relativeFrom="paragraph">
              <wp:posOffset>48260</wp:posOffset>
            </wp:positionV>
            <wp:extent cx="2574925" cy="1350010"/>
            <wp:effectExtent l="19050" t="0" r="0" b="0"/>
            <wp:wrapTight wrapText="bothSides">
              <wp:wrapPolygon edited="0">
                <wp:start x="-160" y="0"/>
                <wp:lineTo x="-160" y="21336"/>
                <wp:lineTo x="21573" y="21336"/>
                <wp:lineTo x="21573" y="0"/>
                <wp:lineTo x="-160" y="0"/>
              </wp:wrapPolygon>
            </wp:wrapTight>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574925" cy="1350010"/>
                    </a:xfrm>
                    <a:prstGeom prst="rect">
                      <a:avLst/>
                    </a:prstGeom>
                  </pic:spPr>
                </pic:pic>
              </a:graphicData>
            </a:graphic>
          </wp:anchor>
        </w:drawing>
      </w:r>
      <w:r w:rsidRPr="00F72DFC">
        <w:rPr>
          <w:rFonts w:ascii="Arial" w:hAnsi="Arial" w:cs="Arial"/>
          <w:sz w:val="24"/>
          <w:szCs w:val="24"/>
        </w:rPr>
        <w:t>Representa una herramienta indispensable para determinar los lugares de mayor congestión dentro de la planta, al igual que los recorridos que realiza el producto a lo largo de las diferentes áreas y centros de trabajo. Esta herramienta se soporta en la simbología básica, y se plasma en un plano a escala de 2 dimensiones en donde se incluyen las diferentes, operaciones, inspecciones, transportes, almacenamiento y demoras que se presenta a lo largo de la ruta de proceso de la pieza.</w:t>
      </w:r>
    </w:p>
    <w:p w:rsidR="00467542" w:rsidRPr="00F72DFC" w:rsidRDefault="00467542" w:rsidP="00467542">
      <w:pPr>
        <w:autoSpaceDE w:val="0"/>
        <w:autoSpaceDN w:val="0"/>
        <w:adjustRightInd w:val="0"/>
        <w:spacing w:after="0" w:line="240" w:lineRule="auto"/>
        <w:jc w:val="both"/>
        <w:rPr>
          <w:rFonts w:ascii="Arial" w:hAnsi="Arial" w:cs="Arial"/>
          <w:b/>
          <w:i/>
          <w:sz w:val="24"/>
          <w:szCs w:val="24"/>
        </w:rPr>
      </w:pPr>
    </w:p>
    <w:p w:rsidR="00467542" w:rsidRPr="00F72DFC" w:rsidRDefault="00467542" w:rsidP="00467542">
      <w:pPr>
        <w:autoSpaceDE w:val="0"/>
        <w:autoSpaceDN w:val="0"/>
        <w:adjustRightInd w:val="0"/>
        <w:spacing w:after="0" w:line="240" w:lineRule="auto"/>
        <w:jc w:val="both"/>
        <w:rPr>
          <w:rFonts w:ascii="Arial" w:hAnsi="Arial" w:cs="Arial"/>
          <w:b/>
          <w:i/>
          <w:sz w:val="24"/>
          <w:szCs w:val="24"/>
        </w:rPr>
      </w:pPr>
      <w:bookmarkStart w:id="0" w:name="_GoBack"/>
      <w:bookmarkEnd w:id="0"/>
      <w:r w:rsidRPr="00F72DFC">
        <w:rPr>
          <w:rFonts w:ascii="Arial" w:hAnsi="Arial" w:cs="Arial"/>
          <w:b/>
          <w:i/>
          <w:sz w:val="24"/>
          <w:szCs w:val="24"/>
        </w:rPr>
        <w:t>Primer Indicador:</w:t>
      </w:r>
    </w:p>
    <w:p w:rsidR="00467542" w:rsidRPr="00F72DFC" w:rsidRDefault="00467542" w:rsidP="00467542">
      <w:pPr>
        <w:pStyle w:val="Prrafodelista"/>
        <w:ind w:left="0"/>
        <w:jc w:val="both"/>
        <w:rPr>
          <w:rFonts w:ascii="Arial" w:hAnsi="Arial" w:cs="Arial"/>
          <w:b/>
          <w:i/>
          <w:sz w:val="24"/>
          <w:szCs w:val="24"/>
        </w:rPr>
      </w:pPr>
      <w:r w:rsidRPr="00F72DFC">
        <w:rPr>
          <w:rFonts w:ascii="Arial" w:hAnsi="Arial" w:cs="Arial"/>
          <w:b/>
          <w:i/>
          <w:noProof/>
          <w:sz w:val="24"/>
          <w:szCs w:val="24"/>
        </w:rPr>
        <w:drawing>
          <wp:anchor distT="0" distB="0" distL="114300" distR="114300" simplePos="0" relativeHeight="251660288" behindDoc="0" locked="0" layoutInCell="1" allowOverlap="1">
            <wp:simplePos x="0" y="0"/>
            <wp:positionH relativeFrom="column">
              <wp:posOffset>469900</wp:posOffset>
            </wp:positionH>
            <wp:positionV relativeFrom="paragraph">
              <wp:posOffset>152400</wp:posOffset>
            </wp:positionV>
            <wp:extent cx="4751705" cy="2105025"/>
            <wp:effectExtent l="19050" t="0" r="10795" b="0"/>
            <wp:wrapSquare wrapText="bothSides"/>
            <wp:docPr id="1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467542" w:rsidRPr="00F72DFC" w:rsidRDefault="00467542" w:rsidP="00467542">
      <w:pPr>
        <w:pStyle w:val="Prrafodelista"/>
        <w:ind w:left="0"/>
        <w:jc w:val="both"/>
        <w:rPr>
          <w:rFonts w:ascii="Arial" w:hAnsi="Arial" w:cs="Arial"/>
          <w:b/>
          <w:i/>
          <w:sz w:val="24"/>
          <w:szCs w:val="24"/>
        </w:rPr>
      </w:pPr>
    </w:p>
    <w:p w:rsidR="00467542" w:rsidRPr="00F72DFC" w:rsidRDefault="00467542" w:rsidP="00467542">
      <w:pPr>
        <w:autoSpaceDE w:val="0"/>
        <w:autoSpaceDN w:val="0"/>
        <w:adjustRightInd w:val="0"/>
        <w:spacing w:after="0" w:line="360" w:lineRule="auto"/>
        <w:jc w:val="both"/>
        <w:rPr>
          <w:rFonts w:ascii="Arial" w:hAnsi="Arial" w:cs="Arial"/>
          <w:sz w:val="24"/>
          <w:szCs w:val="24"/>
        </w:rPr>
      </w:pPr>
    </w:p>
    <w:p w:rsidR="00467542" w:rsidRPr="00F72DFC" w:rsidRDefault="00467542" w:rsidP="00467542">
      <w:pPr>
        <w:autoSpaceDE w:val="0"/>
        <w:autoSpaceDN w:val="0"/>
        <w:adjustRightInd w:val="0"/>
        <w:spacing w:after="0" w:line="360" w:lineRule="auto"/>
        <w:jc w:val="both"/>
        <w:rPr>
          <w:rFonts w:ascii="Arial" w:hAnsi="Arial" w:cs="Arial"/>
          <w:sz w:val="24"/>
          <w:szCs w:val="24"/>
        </w:rPr>
      </w:pPr>
    </w:p>
    <w:p w:rsidR="00467542" w:rsidRPr="00F72DFC" w:rsidRDefault="00467542" w:rsidP="00467542">
      <w:pPr>
        <w:autoSpaceDE w:val="0"/>
        <w:autoSpaceDN w:val="0"/>
        <w:adjustRightInd w:val="0"/>
        <w:spacing w:after="0" w:line="360" w:lineRule="auto"/>
        <w:jc w:val="both"/>
        <w:rPr>
          <w:rFonts w:ascii="Arial" w:hAnsi="Arial" w:cs="Arial"/>
          <w:sz w:val="24"/>
          <w:szCs w:val="24"/>
        </w:rPr>
      </w:pPr>
    </w:p>
    <w:p w:rsidR="00467542" w:rsidRPr="00F72DFC" w:rsidRDefault="00467542" w:rsidP="00467542">
      <w:pPr>
        <w:autoSpaceDE w:val="0"/>
        <w:autoSpaceDN w:val="0"/>
        <w:adjustRightInd w:val="0"/>
        <w:spacing w:after="0" w:line="360" w:lineRule="auto"/>
        <w:jc w:val="both"/>
        <w:rPr>
          <w:rFonts w:ascii="Arial" w:hAnsi="Arial" w:cs="Arial"/>
          <w:sz w:val="24"/>
          <w:szCs w:val="24"/>
        </w:rPr>
      </w:pPr>
    </w:p>
    <w:p w:rsidR="00467542" w:rsidRPr="00F72DFC" w:rsidRDefault="00467542" w:rsidP="00467542">
      <w:pPr>
        <w:autoSpaceDE w:val="0"/>
        <w:autoSpaceDN w:val="0"/>
        <w:adjustRightInd w:val="0"/>
        <w:spacing w:after="0" w:line="360" w:lineRule="auto"/>
        <w:jc w:val="both"/>
        <w:rPr>
          <w:rFonts w:ascii="Arial" w:hAnsi="Arial" w:cs="Arial"/>
          <w:sz w:val="24"/>
          <w:szCs w:val="24"/>
        </w:rPr>
      </w:pPr>
    </w:p>
    <w:p w:rsidR="00467542" w:rsidRPr="00F72DFC" w:rsidRDefault="00467542" w:rsidP="00467542">
      <w:pPr>
        <w:autoSpaceDE w:val="0"/>
        <w:autoSpaceDN w:val="0"/>
        <w:adjustRightInd w:val="0"/>
        <w:spacing w:after="0" w:line="360" w:lineRule="auto"/>
        <w:jc w:val="both"/>
        <w:rPr>
          <w:rFonts w:ascii="Arial" w:hAnsi="Arial" w:cs="Arial"/>
          <w:sz w:val="24"/>
          <w:szCs w:val="24"/>
        </w:rPr>
      </w:pPr>
    </w:p>
    <w:p w:rsidR="00467542" w:rsidRPr="00F72DFC" w:rsidRDefault="00467542" w:rsidP="00467542">
      <w:pPr>
        <w:autoSpaceDE w:val="0"/>
        <w:autoSpaceDN w:val="0"/>
        <w:adjustRightInd w:val="0"/>
        <w:spacing w:after="0" w:line="360" w:lineRule="auto"/>
        <w:jc w:val="both"/>
        <w:rPr>
          <w:rFonts w:ascii="Arial" w:hAnsi="Arial" w:cs="Arial"/>
          <w:sz w:val="24"/>
          <w:szCs w:val="24"/>
        </w:rPr>
      </w:pPr>
    </w:p>
    <w:p w:rsidR="00467542" w:rsidRPr="00F72DFC" w:rsidRDefault="00467542" w:rsidP="00467542">
      <w:pPr>
        <w:autoSpaceDE w:val="0"/>
        <w:autoSpaceDN w:val="0"/>
        <w:adjustRightInd w:val="0"/>
        <w:spacing w:after="0" w:line="240" w:lineRule="auto"/>
        <w:jc w:val="both"/>
        <w:rPr>
          <w:rFonts w:ascii="Arial" w:hAnsi="Arial" w:cs="Arial"/>
          <w:sz w:val="24"/>
          <w:szCs w:val="24"/>
        </w:rPr>
      </w:pPr>
    </w:p>
    <w:p w:rsidR="00467542" w:rsidRPr="00F72DFC" w:rsidRDefault="00467542" w:rsidP="00467542">
      <w:pPr>
        <w:autoSpaceDE w:val="0"/>
        <w:autoSpaceDN w:val="0"/>
        <w:adjustRightInd w:val="0"/>
        <w:spacing w:after="0" w:line="240" w:lineRule="auto"/>
        <w:jc w:val="both"/>
        <w:rPr>
          <w:rFonts w:ascii="Arial" w:hAnsi="Arial" w:cs="Arial"/>
          <w:sz w:val="24"/>
          <w:szCs w:val="24"/>
        </w:rPr>
      </w:pPr>
      <w:r w:rsidRPr="00F72DFC">
        <w:rPr>
          <w:rFonts w:ascii="Arial" w:hAnsi="Arial" w:cs="Arial"/>
          <w:sz w:val="24"/>
          <w:szCs w:val="24"/>
        </w:rPr>
        <w:t xml:space="preserve">Con este indicador se realiza un seguimiento a la gestión realizada por el Área, revelando de esta manera si funciona preventiva o correctivamente. Así mismo, </w:t>
      </w:r>
      <w:r w:rsidRPr="00F72DFC">
        <w:rPr>
          <w:rFonts w:ascii="Arial" w:hAnsi="Arial" w:cs="Arial"/>
          <w:sz w:val="24"/>
          <w:szCs w:val="24"/>
        </w:rPr>
        <w:lastRenderedPageBreak/>
        <w:t>realiza una inspección del trabajo realizado por mes y se traza una meta, la cual debe girar en torno a disminuir el actuar correctivamente. Este indicador también nos muestra por medio de las órdenes de trabajo correctivas, si los daños en algún equipo de planta se han vuelto reiterativos, lo cual nos da un panorama general para realizar el análisis de la situación.</w:t>
      </w:r>
    </w:p>
    <w:p w:rsidR="00467542" w:rsidRPr="00F72DFC" w:rsidRDefault="00467542" w:rsidP="00467542">
      <w:pPr>
        <w:autoSpaceDE w:val="0"/>
        <w:autoSpaceDN w:val="0"/>
        <w:adjustRightInd w:val="0"/>
        <w:spacing w:after="0" w:line="240" w:lineRule="auto"/>
        <w:jc w:val="both"/>
        <w:rPr>
          <w:rFonts w:ascii="Arial" w:hAnsi="Arial" w:cs="Arial"/>
          <w:sz w:val="24"/>
          <w:szCs w:val="24"/>
        </w:rPr>
      </w:pPr>
    </w:p>
    <w:p w:rsidR="00467542" w:rsidRPr="00F72DFC" w:rsidRDefault="00467542" w:rsidP="00467542">
      <w:pPr>
        <w:autoSpaceDE w:val="0"/>
        <w:autoSpaceDN w:val="0"/>
        <w:adjustRightInd w:val="0"/>
        <w:spacing w:after="0" w:line="240" w:lineRule="auto"/>
        <w:jc w:val="both"/>
        <w:rPr>
          <w:rFonts w:ascii="Arial" w:hAnsi="Arial" w:cs="Arial"/>
          <w:b/>
          <w:i/>
          <w:sz w:val="24"/>
          <w:szCs w:val="24"/>
        </w:rPr>
      </w:pPr>
      <w:r w:rsidRPr="00F72DFC">
        <w:rPr>
          <w:rFonts w:ascii="Arial" w:hAnsi="Arial" w:cs="Arial"/>
          <w:b/>
          <w:i/>
          <w:sz w:val="24"/>
          <w:szCs w:val="24"/>
        </w:rPr>
        <w:t>Segundo Indicador:</w:t>
      </w:r>
    </w:p>
    <w:p w:rsidR="00467542" w:rsidRPr="00F72DFC" w:rsidRDefault="00467542" w:rsidP="00467542">
      <w:pPr>
        <w:autoSpaceDE w:val="0"/>
        <w:autoSpaceDN w:val="0"/>
        <w:adjustRightInd w:val="0"/>
        <w:spacing w:after="0" w:line="240" w:lineRule="auto"/>
        <w:jc w:val="both"/>
        <w:rPr>
          <w:rFonts w:ascii="Arial" w:hAnsi="Arial" w:cs="Arial"/>
          <w:sz w:val="24"/>
          <w:szCs w:val="24"/>
        </w:rPr>
      </w:pPr>
    </w:p>
    <w:p w:rsidR="00467542" w:rsidRDefault="00467542" w:rsidP="00467542">
      <w:pPr>
        <w:autoSpaceDE w:val="0"/>
        <w:autoSpaceDN w:val="0"/>
        <w:adjustRightInd w:val="0"/>
        <w:spacing w:after="0" w:line="240" w:lineRule="auto"/>
        <w:jc w:val="both"/>
        <w:rPr>
          <w:rFonts w:ascii="Arial" w:hAnsi="Arial" w:cs="Arial"/>
          <w:sz w:val="24"/>
          <w:szCs w:val="24"/>
        </w:rPr>
      </w:pPr>
      <w:r w:rsidRPr="00F72DFC">
        <w:rPr>
          <w:rFonts w:ascii="Arial" w:hAnsi="Arial" w:cs="Arial"/>
          <w:sz w:val="24"/>
          <w:szCs w:val="24"/>
        </w:rPr>
        <w:t>Con el anterior indicador se evidencian los equipos o máquinas que están fallando con más frecuencia, y de esta manera puedo establecer acciones preventivas con mayor análisis y basado en fundamentos estadísticos según el comportamiento de los mismos.</w:t>
      </w:r>
    </w:p>
    <w:p w:rsidR="00467542" w:rsidRPr="00F72DFC" w:rsidRDefault="00467542" w:rsidP="00467542">
      <w:pPr>
        <w:autoSpaceDE w:val="0"/>
        <w:autoSpaceDN w:val="0"/>
        <w:adjustRightInd w:val="0"/>
        <w:spacing w:after="0" w:line="240" w:lineRule="auto"/>
        <w:jc w:val="both"/>
        <w:rPr>
          <w:rFonts w:ascii="Arial" w:hAnsi="Arial" w:cs="Arial"/>
          <w:sz w:val="24"/>
          <w:szCs w:val="24"/>
        </w:rPr>
      </w:pPr>
    </w:p>
    <w:p w:rsidR="00467542" w:rsidRPr="00F72DFC" w:rsidRDefault="00467542" w:rsidP="00467542">
      <w:pPr>
        <w:autoSpaceDE w:val="0"/>
        <w:autoSpaceDN w:val="0"/>
        <w:adjustRightInd w:val="0"/>
        <w:spacing w:after="0" w:line="240" w:lineRule="auto"/>
        <w:rPr>
          <w:rFonts w:ascii="Arial" w:hAnsi="Arial" w:cs="Arial"/>
          <w:sz w:val="24"/>
          <w:szCs w:val="24"/>
        </w:rPr>
      </w:pPr>
      <w:r w:rsidRPr="00F72DFC">
        <w:rPr>
          <w:rFonts w:ascii="Arial" w:hAnsi="Arial" w:cs="Arial"/>
          <w:noProof/>
          <w:sz w:val="24"/>
          <w:szCs w:val="24"/>
        </w:rPr>
        <w:drawing>
          <wp:inline distT="0" distB="0" distL="0" distR="0">
            <wp:extent cx="4638675" cy="1647825"/>
            <wp:effectExtent l="19050" t="0" r="9525" b="0"/>
            <wp:docPr id="16"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7542" w:rsidRDefault="00467542" w:rsidP="00467542">
      <w:pPr>
        <w:spacing w:after="0" w:line="240" w:lineRule="auto"/>
        <w:rPr>
          <w:rFonts w:ascii="Arial" w:hAnsi="Arial" w:cs="Arial"/>
          <w:b/>
          <w:sz w:val="24"/>
          <w:szCs w:val="24"/>
        </w:rPr>
      </w:pPr>
    </w:p>
    <w:p w:rsidR="00467542" w:rsidRDefault="00467542" w:rsidP="00467542">
      <w:pPr>
        <w:pStyle w:val="Prrafodelista"/>
        <w:autoSpaceDE w:val="0"/>
        <w:autoSpaceDN w:val="0"/>
        <w:adjustRightInd w:val="0"/>
        <w:spacing w:after="0" w:line="360" w:lineRule="auto"/>
        <w:ind w:left="360"/>
        <w:jc w:val="both"/>
        <w:rPr>
          <w:rFonts w:ascii="Arial" w:hAnsi="Arial" w:cs="Arial"/>
          <w:sz w:val="24"/>
          <w:szCs w:val="24"/>
        </w:rPr>
      </w:pPr>
    </w:p>
    <w:p w:rsidR="00CF6ED8" w:rsidRDefault="00CF6ED8" w:rsidP="007333BF">
      <w:pPr>
        <w:rPr>
          <w:lang w:val="es-ES_tradnl"/>
        </w:rPr>
      </w:pPr>
    </w:p>
    <w:sectPr w:rsidR="00CF6ED8" w:rsidSect="00CF6ED8">
      <w:headerReference w:type="default" r:id="rId11"/>
      <w:pgSz w:w="11906" w:h="16838"/>
      <w:pgMar w:top="1417" w:right="1701" w:bottom="1417" w:left="1701" w:header="708" w:footer="708" w:gutter="0"/>
      <w:pgBorders w:offsetFrom="page">
        <w:top w:val="threeDEmboss" w:sz="24" w:space="24" w:color="31849B" w:themeColor="accent5" w:themeShade="BF"/>
        <w:left w:val="threeDEmboss" w:sz="24" w:space="24" w:color="31849B" w:themeColor="accent5" w:themeShade="BF"/>
        <w:bottom w:val="threeDEngrave" w:sz="24" w:space="24" w:color="31849B" w:themeColor="accent5" w:themeShade="BF"/>
        <w:right w:val="threeDEngrave" w:sz="24" w:space="24" w:color="31849B" w:themeColor="accent5"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4CA" w:rsidRDefault="009424CA" w:rsidP="000F511C">
      <w:pPr>
        <w:spacing w:after="0" w:line="240" w:lineRule="auto"/>
      </w:pPr>
      <w:r>
        <w:separator/>
      </w:r>
    </w:p>
  </w:endnote>
  <w:endnote w:type="continuationSeparator" w:id="1">
    <w:p w:rsidR="009424CA" w:rsidRDefault="009424CA" w:rsidP="000F5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4CA" w:rsidRDefault="009424CA" w:rsidP="000F511C">
      <w:pPr>
        <w:spacing w:after="0" w:line="240" w:lineRule="auto"/>
      </w:pPr>
      <w:r>
        <w:separator/>
      </w:r>
    </w:p>
  </w:footnote>
  <w:footnote w:type="continuationSeparator" w:id="1">
    <w:p w:rsidR="009424CA" w:rsidRDefault="009424CA" w:rsidP="000F5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1C" w:rsidRDefault="000F511C" w:rsidP="000F511C">
    <w:pPr>
      <w:pStyle w:val="Encabezado"/>
      <w:jc w:val="center"/>
      <w:rPr>
        <w:rFonts w:ascii="Copperplate Gothic Bold" w:hAnsi="Copperplate Gothic Bold"/>
        <w:sz w:val="28"/>
        <w:szCs w:val="28"/>
        <w:lang w:val="es-ES_tradnl"/>
      </w:rPr>
    </w:pPr>
    <w:r w:rsidRPr="000F511C">
      <w:rPr>
        <w:rFonts w:ascii="Copperplate Gothic Bold" w:hAnsi="Copperplate Gothic Bold"/>
        <w:sz w:val="28"/>
        <w:szCs w:val="28"/>
        <w:lang w:val="es-ES_tradnl"/>
      </w:rPr>
      <w:t>MANTENIMIENTO INDUSTRIAL</w:t>
    </w:r>
  </w:p>
  <w:p w:rsidR="00CF6ED8" w:rsidRPr="000F511C" w:rsidRDefault="00CF6ED8" w:rsidP="000F511C">
    <w:pPr>
      <w:pStyle w:val="Encabezado"/>
      <w:jc w:val="center"/>
      <w:rPr>
        <w:rFonts w:ascii="Copperplate Gothic Bold" w:hAnsi="Copperplate Gothic Bold"/>
        <w:sz w:val="28"/>
        <w:szCs w:val="28"/>
        <w:lang w:val="es-ES_tradnl"/>
      </w:rPr>
    </w:pPr>
    <w:r>
      <w:rPr>
        <w:rFonts w:ascii="Copperplate Gothic Bold" w:hAnsi="Copperplate Gothic Bold"/>
        <w:sz w:val="28"/>
        <w:szCs w:val="28"/>
        <w:lang w:val="es-ES_tradnl"/>
      </w:rPr>
      <w:t>TRABAJO FINAL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1F81"/>
    <w:multiLevelType w:val="hybridMultilevel"/>
    <w:tmpl w:val="EB1AE1A2"/>
    <w:lvl w:ilvl="0" w:tplc="31005100">
      <w:start w:val="7"/>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770BE6"/>
    <w:multiLevelType w:val="hybridMultilevel"/>
    <w:tmpl w:val="AA445CF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B754A5"/>
    <w:multiLevelType w:val="hybridMultilevel"/>
    <w:tmpl w:val="E09C599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27E2E0C"/>
    <w:multiLevelType w:val="hybridMultilevel"/>
    <w:tmpl w:val="9196BD8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B74456E"/>
    <w:multiLevelType w:val="multilevel"/>
    <w:tmpl w:val="D65C3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C6B2311"/>
    <w:multiLevelType w:val="hybridMultilevel"/>
    <w:tmpl w:val="5328874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F4165DF"/>
    <w:multiLevelType w:val="multilevel"/>
    <w:tmpl w:val="5B843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0467F67"/>
    <w:multiLevelType w:val="hybridMultilevel"/>
    <w:tmpl w:val="ABA8E076"/>
    <w:lvl w:ilvl="0" w:tplc="040A0019">
      <w:start w:val="1"/>
      <w:numFmt w:val="lowerLetter"/>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nsid w:val="46586747"/>
    <w:multiLevelType w:val="hybridMultilevel"/>
    <w:tmpl w:val="8166B998"/>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CD115AA"/>
    <w:multiLevelType w:val="hybridMultilevel"/>
    <w:tmpl w:val="6A1A0654"/>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606441C"/>
    <w:multiLevelType w:val="hybridMultilevel"/>
    <w:tmpl w:val="6184820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nsid w:val="68735E95"/>
    <w:multiLevelType w:val="hybridMultilevel"/>
    <w:tmpl w:val="AF0040CA"/>
    <w:lvl w:ilvl="0" w:tplc="8DB85956">
      <w:start w:val="3"/>
      <w:numFmt w:val="decimal"/>
      <w:lvlText w:val="%1."/>
      <w:lvlJc w:val="left"/>
      <w:pPr>
        <w:ind w:left="360" w:hanging="360"/>
      </w:pPr>
      <w:rPr>
        <w:rFonts w:hint="default"/>
      </w:rPr>
    </w:lvl>
    <w:lvl w:ilvl="1" w:tplc="040A0019">
      <w:start w:val="1"/>
      <w:numFmt w:val="lowerLetter"/>
      <w:lvlText w:val="%2."/>
      <w:lvlJc w:val="left"/>
      <w:pPr>
        <w:ind w:left="1440" w:hanging="360"/>
      </w:pPr>
    </w:lvl>
    <w:lvl w:ilvl="2" w:tplc="D5605C56">
      <w:start w:val="1"/>
      <w:numFmt w:val="upp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693C7EC4"/>
    <w:multiLevelType w:val="hybridMultilevel"/>
    <w:tmpl w:val="4B50C2A6"/>
    <w:lvl w:ilvl="0" w:tplc="ECCCE560">
      <w:start w:val="2"/>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nsid w:val="6A1157CF"/>
    <w:multiLevelType w:val="hybridMultilevel"/>
    <w:tmpl w:val="83060BD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3"/>
  </w:num>
  <w:num w:numId="6">
    <w:abstractNumId w:val="12"/>
  </w:num>
  <w:num w:numId="7">
    <w:abstractNumId w:val="5"/>
  </w:num>
  <w:num w:numId="8">
    <w:abstractNumId w:val="9"/>
  </w:num>
  <w:num w:numId="9">
    <w:abstractNumId w:val="11"/>
  </w:num>
  <w:num w:numId="10">
    <w:abstractNumId w:val="7"/>
  </w:num>
  <w:num w:numId="11">
    <w:abstractNumId w:val="10"/>
  </w:num>
  <w:num w:numId="12">
    <w:abstractNumId w:val="1"/>
  </w:num>
  <w:num w:numId="13">
    <w:abstractNumId w:val="0"/>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511C"/>
    <w:rsid w:val="000030FF"/>
    <w:rsid w:val="000776C9"/>
    <w:rsid w:val="000F511C"/>
    <w:rsid w:val="001A4D13"/>
    <w:rsid w:val="003B5D1E"/>
    <w:rsid w:val="00467542"/>
    <w:rsid w:val="00584169"/>
    <w:rsid w:val="007333BF"/>
    <w:rsid w:val="0081029D"/>
    <w:rsid w:val="009424CA"/>
    <w:rsid w:val="00A96F90"/>
    <w:rsid w:val="00AC47D3"/>
    <w:rsid w:val="00AD0AFC"/>
    <w:rsid w:val="00B206E7"/>
    <w:rsid w:val="00CF6ED8"/>
    <w:rsid w:val="00D0470C"/>
    <w:rsid w:val="00F26F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F90"/>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F51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F511C"/>
  </w:style>
  <w:style w:type="paragraph" w:styleId="Piedepgina">
    <w:name w:val="footer"/>
    <w:basedOn w:val="Normal"/>
    <w:link w:val="PiedepginaCar"/>
    <w:uiPriority w:val="99"/>
    <w:semiHidden/>
    <w:unhideWhenUsed/>
    <w:rsid w:val="000F51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F511C"/>
  </w:style>
  <w:style w:type="paragraph" w:styleId="Prrafodelista">
    <w:name w:val="List Paragraph"/>
    <w:basedOn w:val="Normal"/>
    <w:uiPriority w:val="34"/>
    <w:qFormat/>
    <w:rsid w:val="00F26F2D"/>
    <w:pPr>
      <w:ind w:left="720"/>
      <w:contextualSpacing/>
    </w:pPr>
  </w:style>
  <w:style w:type="paragraph" w:styleId="Textodeglobo">
    <w:name w:val="Balloon Text"/>
    <w:basedOn w:val="Normal"/>
    <w:link w:val="TextodegloboCar"/>
    <w:uiPriority w:val="99"/>
    <w:semiHidden/>
    <w:unhideWhenUsed/>
    <w:rsid w:val="00B206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6E7"/>
    <w:rPr>
      <w:rFonts w:ascii="Tahoma" w:eastAsiaTheme="minorEastAsi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MTN03%20Aux.%20Mantenimiento\GESTION\Gesti&#243;n%202011\OTB-%20prev-correc-pred%202010-2011.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title>
      <c:tx>
        <c:rich>
          <a:bodyPr/>
          <a:lstStyle/>
          <a:p>
            <a:pPr>
              <a:defRPr lang="es-CO" sz="1000"/>
            </a:pPr>
            <a:r>
              <a:rPr lang="es-ES" sz="1000"/>
              <a:t>  MANTENIMIENTO</a:t>
            </a:r>
            <a:r>
              <a:rPr lang="es-ES" sz="1000" baseline="0"/>
              <a:t>  PREVENTIVO  VS.  CORRECTIVO</a:t>
            </a:r>
            <a:r>
              <a:rPr lang="es-ES" sz="1000"/>
              <a:t>  </a:t>
            </a:r>
          </a:p>
        </c:rich>
      </c:tx>
      <c:layout>
        <c:manualLayout>
          <c:xMode val="edge"/>
          <c:yMode val="edge"/>
          <c:x val="0.23070479449737402"/>
          <c:y val="2.3063867016623101E-2"/>
        </c:manualLayout>
      </c:layout>
    </c:title>
    <c:view3D>
      <c:depthPercent val="100"/>
      <c:rAngAx val="1"/>
    </c:view3D>
    <c:plotArea>
      <c:layout>
        <c:manualLayout>
          <c:layoutTarget val="inner"/>
          <c:xMode val="edge"/>
          <c:yMode val="edge"/>
          <c:x val="2.8939601693546597E-2"/>
          <c:y val="0.30101580555546348"/>
          <c:w val="0.93378004794370895"/>
          <c:h val="0.50050923698846361"/>
        </c:manualLayout>
      </c:layout>
      <c:bar3DChart>
        <c:barDir val="col"/>
        <c:grouping val="clustered"/>
        <c:ser>
          <c:idx val="0"/>
          <c:order val="0"/>
          <c:tx>
            <c:strRef>
              <c:f>'2011'!$E$25</c:f>
              <c:strCache>
                <c:ptCount val="1"/>
                <c:pt idx="0">
                  <c:v>OTB'S PREVENTIVAS % </c:v>
                </c:pt>
              </c:strCache>
            </c:strRef>
          </c:tx>
          <c:dLbls>
            <c:dLbl>
              <c:idx val="0"/>
              <c:layout>
                <c:manualLayout>
                  <c:x val="7.3151961037693407E-3"/>
                  <c:y val="-3.4297963558413962E-2"/>
                </c:manualLayout>
              </c:layout>
              <c:showVal val="1"/>
            </c:dLbl>
            <c:dLbl>
              <c:idx val="1"/>
              <c:layout>
                <c:manualLayout>
                  <c:x val="7.2939460247994446E-3"/>
                  <c:y val="-2.1436227224008658E-2"/>
                </c:manualLayout>
              </c:layout>
              <c:showVal val="1"/>
            </c:dLbl>
            <c:dLbl>
              <c:idx val="8"/>
              <c:tx>
                <c:rich>
                  <a:bodyPr/>
                  <a:lstStyle/>
                  <a:p>
                    <a:r>
                      <a:rPr lang="en-US"/>
                      <a:t>100%</a:t>
                    </a:r>
                  </a:p>
                </c:rich>
              </c:tx>
            </c:dLbl>
            <c:dLbl>
              <c:idx val="11"/>
              <c:tx>
                <c:rich>
                  <a:bodyPr/>
                  <a:lstStyle/>
                  <a:p>
                    <a:r>
                      <a:rPr lang="en-US"/>
                      <a:t>100%</a:t>
                    </a:r>
                  </a:p>
                </c:rich>
              </c:tx>
            </c:dLbl>
            <c:txPr>
              <a:bodyPr/>
              <a:lstStyle/>
              <a:p>
                <a:pPr>
                  <a:defRPr lang="es-CO"/>
                </a:pPr>
                <a:endParaRPr lang="es-ES"/>
              </a:p>
            </c:txPr>
            <c:showVal val="1"/>
          </c:dLbls>
          <c:cat>
            <c:strRef>
              <c:f>'2011'!$D$26:$D$38</c:f>
              <c:strCache>
                <c:ptCount val="13"/>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YTD'2011</c:v>
                </c:pt>
              </c:strCache>
            </c:strRef>
          </c:cat>
          <c:val>
            <c:numRef>
              <c:f>'2011'!$E$26:$E$38</c:f>
              <c:numCache>
                <c:formatCode>0%</c:formatCode>
                <c:ptCount val="13"/>
                <c:pt idx="0">
                  <c:v>1</c:v>
                </c:pt>
                <c:pt idx="1">
                  <c:v>0.99</c:v>
                </c:pt>
                <c:pt idx="2">
                  <c:v>0.97000000000000064</c:v>
                </c:pt>
                <c:pt idx="12" formatCode="0.0%">
                  <c:v>0.98666666666666658</c:v>
                </c:pt>
              </c:numCache>
            </c:numRef>
          </c:val>
        </c:ser>
        <c:ser>
          <c:idx val="1"/>
          <c:order val="1"/>
          <c:tx>
            <c:strRef>
              <c:f>'2011'!$F$25</c:f>
              <c:strCache>
                <c:ptCount val="1"/>
                <c:pt idx="0">
                  <c:v>OTB'S  CORRECTIVAS  %</c:v>
                </c:pt>
              </c:strCache>
            </c:strRef>
          </c:tx>
          <c:dLbls>
            <c:dLbl>
              <c:idx val="0"/>
              <c:layout>
                <c:manualLayout>
                  <c:x val="1.2277470841006761E-2"/>
                  <c:y val="0"/>
                </c:manualLayout>
              </c:layout>
              <c:showVal val="1"/>
            </c:dLbl>
            <c:dLbl>
              <c:idx val="1"/>
              <c:layout>
                <c:manualLayout>
                  <c:x val="1.1049723756906115E-2"/>
                  <c:y val="7.8598591843726995E-17"/>
                </c:manualLayout>
              </c:layout>
              <c:showVal val="1"/>
            </c:dLbl>
            <c:dLbl>
              <c:idx val="2"/>
              <c:layout>
                <c:manualLayout>
                  <c:x val="9.8219766728054238E-3"/>
                  <c:y val="0"/>
                </c:manualLayout>
              </c:layout>
              <c:showVal val="1"/>
            </c:dLbl>
            <c:dLbl>
              <c:idx val="3"/>
              <c:layout>
                <c:manualLayout>
                  <c:x val="1.3505217925107473E-2"/>
                  <c:y val="-8.5744908896035043E-3"/>
                </c:manualLayout>
              </c:layout>
              <c:showVal val="1"/>
            </c:dLbl>
            <c:dLbl>
              <c:idx val="4"/>
              <c:layout>
                <c:manualLayout>
                  <c:x val="7.3664825046040397E-3"/>
                  <c:y val="-1.2861736334405209E-2"/>
                </c:manualLayout>
              </c:layout>
              <c:showVal val="1"/>
            </c:dLbl>
            <c:dLbl>
              <c:idx val="5"/>
              <c:layout>
                <c:manualLayout>
                  <c:x val="7.3664825046040822E-3"/>
                  <c:y val="0"/>
                </c:manualLayout>
              </c:layout>
              <c:showVal val="1"/>
            </c:dLbl>
            <c:dLbl>
              <c:idx val="6"/>
              <c:layout>
                <c:manualLayout>
                  <c:x val="8.5942295887047274E-3"/>
                  <c:y val="0"/>
                </c:manualLayout>
              </c:layout>
              <c:showVal val="1"/>
            </c:dLbl>
            <c:dLbl>
              <c:idx val="7"/>
              <c:layout>
                <c:manualLayout>
                  <c:x val="8.5942295887047274E-3"/>
                  <c:y val="0"/>
                </c:manualLayout>
              </c:layout>
              <c:showVal val="1"/>
            </c:dLbl>
            <c:dLbl>
              <c:idx val="12"/>
              <c:layout>
                <c:manualLayout>
                  <c:x val="7.3664825046040822E-3"/>
                  <c:y val="0"/>
                </c:manualLayout>
              </c:layout>
              <c:showVal val="1"/>
            </c:dLbl>
            <c:txPr>
              <a:bodyPr/>
              <a:lstStyle/>
              <a:p>
                <a:pPr>
                  <a:defRPr lang="es-CO"/>
                </a:pPr>
                <a:endParaRPr lang="es-ES"/>
              </a:p>
            </c:txPr>
            <c:showVal val="1"/>
          </c:dLbls>
          <c:cat>
            <c:strRef>
              <c:f>'2011'!$D$26:$D$38</c:f>
              <c:strCache>
                <c:ptCount val="13"/>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YTD'2011</c:v>
                </c:pt>
              </c:strCache>
            </c:strRef>
          </c:cat>
          <c:val>
            <c:numRef>
              <c:f>'2011'!$F$26:$F$38</c:f>
              <c:numCache>
                <c:formatCode>0%</c:formatCode>
                <c:ptCount val="13"/>
                <c:pt idx="0">
                  <c:v>0</c:v>
                </c:pt>
                <c:pt idx="1">
                  <c:v>1.0000000000000021E-2</c:v>
                </c:pt>
                <c:pt idx="2">
                  <c:v>3.0000000000000051E-2</c:v>
                </c:pt>
                <c:pt idx="12">
                  <c:v>1.3333333333333341E-2</c:v>
                </c:pt>
              </c:numCache>
            </c:numRef>
          </c:val>
        </c:ser>
        <c:dLbls>
          <c:showVal val="1"/>
        </c:dLbls>
        <c:shape val="box"/>
        <c:axId val="78334976"/>
        <c:axId val="113079040"/>
        <c:axId val="0"/>
      </c:bar3DChart>
      <c:catAx>
        <c:axId val="78334976"/>
        <c:scaling>
          <c:orientation val="minMax"/>
        </c:scaling>
        <c:axPos val="b"/>
        <c:numFmt formatCode="General" sourceLinked="1"/>
        <c:majorTickMark val="none"/>
        <c:tickLblPos val="nextTo"/>
        <c:txPr>
          <a:bodyPr/>
          <a:lstStyle/>
          <a:p>
            <a:pPr>
              <a:defRPr lang="es-CO" sz="700"/>
            </a:pPr>
            <a:endParaRPr lang="es-ES"/>
          </a:p>
        </c:txPr>
        <c:crossAx val="113079040"/>
        <c:crosses val="autoZero"/>
        <c:auto val="1"/>
        <c:lblAlgn val="ctr"/>
        <c:lblOffset val="100"/>
      </c:catAx>
      <c:valAx>
        <c:axId val="113079040"/>
        <c:scaling>
          <c:orientation val="minMax"/>
        </c:scaling>
        <c:delete val="1"/>
        <c:axPos val="l"/>
        <c:numFmt formatCode="0%" sourceLinked="1"/>
        <c:tickLblPos val="none"/>
        <c:crossAx val="78334976"/>
        <c:crosses val="autoZero"/>
        <c:crossBetween val="between"/>
      </c:valAx>
      <c:spPr>
        <a:solidFill>
          <a:schemeClr val="accent3">
            <a:lumMod val="20000"/>
            <a:lumOff val="80000"/>
          </a:schemeClr>
        </a:solidFill>
      </c:spPr>
    </c:plotArea>
    <c:legend>
      <c:legendPos val="t"/>
      <c:layout>
        <c:manualLayout>
          <c:xMode val="edge"/>
          <c:yMode val="edge"/>
          <c:x val="0.18376821681820263"/>
          <c:y val="0.11247699037620319"/>
          <c:w val="0.6143561336600909"/>
          <c:h val="8.3717585301837746E-2"/>
        </c:manualLayout>
      </c:layout>
      <c:txPr>
        <a:bodyPr/>
        <a:lstStyle/>
        <a:p>
          <a:pPr>
            <a:defRPr lang="es-CO" sz="900"/>
          </a:pPr>
          <a:endParaRPr lang="es-ES"/>
        </a:p>
      </c:txPr>
    </c:legend>
    <c:plotVisOnly val="1"/>
    <c:dispBlanksAs val="gap"/>
  </c:chart>
  <c:spPr>
    <a:solidFill>
      <a:schemeClr val="accent1">
        <a:lumMod val="40000"/>
        <a:lumOff val="60000"/>
      </a:schemeClr>
    </a:solid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10"/>
  <c:clrMapOvr bg1="lt1" tx1="dk1" bg2="lt2" tx2="dk2" accent1="accent1" accent2="accent2" accent3="accent3" accent4="accent4" accent5="accent5" accent6="accent6" hlink="hlink" folHlink="folHlink"/>
  <c:chart>
    <c:title>
      <c:tx>
        <c:rich>
          <a:bodyPr/>
          <a:lstStyle/>
          <a:p>
            <a:pPr>
              <a:defRPr lang="es-CO"/>
            </a:pPr>
            <a:r>
              <a:rPr lang="en-US"/>
              <a:t>Correcciones por Máquina</a:t>
            </a:r>
          </a:p>
        </c:rich>
      </c:tx>
    </c:title>
    <c:plotArea>
      <c:layout>
        <c:manualLayout>
          <c:layoutTarget val="inner"/>
          <c:xMode val="edge"/>
          <c:yMode val="edge"/>
          <c:x val="5.8681297263584627E-2"/>
          <c:y val="0.25447694931389203"/>
          <c:w val="0.84098126348068203"/>
          <c:h val="0.66063817071530873"/>
        </c:manualLayout>
      </c:layout>
      <c:barChart>
        <c:barDir val="col"/>
        <c:grouping val="clustered"/>
        <c:ser>
          <c:idx val="0"/>
          <c:order val="0"/>
          <c:tx>
            <c:strRef>
              <c:f>Hoja1!$B$4</c:f>
              <c:strCache>
                <c:ptCount val="1"/>
                <c:pt idx="0">
                  <c:v>M-001</c:v>
                </c:pt>
              </c:strCache>
            </c:strRef>
          </c:tx>
          <c:cat>
            <c:strRef>
              <c:f>Hoja1!$C$3:$F$3</c:f>
              <c:strCache>
                <c:ptCount val="4"/>
                <c:pt idx="0">
                  <c:v>Enero</c:v>
                </c:pt>
                <c:pt idx="1">
                  <c:v>Febrero</c:v>
                </c:pt>
                <c:pt idx="2">
                  <c:v>Marzo</c:v>
                </c:pt>
                <c:pt idx="3">
                  <c:v>Abril</c:v>
                </c:pt>
              </c:strCache>
            </c:strRef>
          </c:cat>
          <c:val>
            <c:numRef>
              <c:f>Hoja1!$C$4:$E$4</c:f>
              <c:numCache>
                <c:formatCode>0.0%</c:formatCode>
                <c:ptCount val="3"/>
                <c:pt idx="0">
                  <c:v>1.0000000000000005E-2</c:v>
                </c:pt>
                <c:pt idx="1">
                  <c:v>1.4E-2</c:v>
                </c:pt>
                <c:pt idx="2">
                  <c:v>1.2E-2</c:v>
                </c:pt>
              </c:numCache>
            </c:numRef>
          </c:val>
        </c:ser>
        <c:ser>
          <c:idx val="1"/>
          <c:order val="1"/>
          <c:tx>
            <c:strRef>
              <c:f>Hoja1!$B$5</c:f>
              <c:strCache>
                <c:ptCount val="1"/>
                <c:pt idx="0">
                  <c:v>M-002</c:v>
                </c:pt>
              </c:strCache>
            </c:strRef>
          </c:tx>
          <c:cat>
            <c:strRef>
              <c:f>Hoja1!$C$3:$F$3</c:f>
              <c:strCache>
                <c:ptCount val="4"/>
                <c:pt idx="0">
                  <c:v>Enero</c:v>
                </c:pt>
                <c:pt idx="1">
                  <c:v>Febrero</c:v>
                </c:pt>
                <c:pt idx="2">
                  <c:v>Marzo</c:v>
                </c:pt>
                <c:pt idx="3">
                  <c:v>Abril</c:v>
                </c:pt>
              </c:strCache>
            </c:strRef>
          </c:cat>
          <c:val>
            <c:numRef>
              <c:f>Hoja1!$C$5:$E$5</c:f>
              <c:numCache>
                <c:formatCode>0.0%</c:formatCode>
                <c:ptCount val="3"/>
                <c:pt idx="0">
                  <c:v>1.7999999999999999E-2</c:v>
                </c:pt>
                <c:pt idx="1">
                  <c:v>2.1000000000000012E-2</c:v>
                </c:pt>
                <c:pt idx="2">
                  <c:v>1.9999999999999997E-2</c:v>
                </c:pt>
              </c:numCache>
            </c:numRef>
          </c:val>
        </c:ser>
        <c:ser>
          <c:idx val="2"/>
          <c:order val="2"/>
          <c:tx>
            <c:strRef>
              <c:f>Hoja1!$B$6</c:f>
              <c:strCache>
                <c:ptCount val="1"/>
                <c:pt idx="0">
                  <c:v>M-003</c:v>
                </c:pt>
              </c:strCache>
            </c:strRef>
          </c:tx>
          <c:cat>
            <c:strRef>
              <c:f>Hoja1!$C$3:$F$3</c:f>
              <c:strCache>
                <c:ptCount val="4"/>
                <c:pt idx="0">
                  <c:v>Enero</c:v>
                </c:pt>
                <c:pt idx="1">
                  <c:v>Febrero</c:v>
                </c:pt>
                <c:pt idx="2">
                  <c:v>Marzo</c:v>
                </c:pt>
                <c:pt idx="3">
                  <c:v>Abril</c:v>
                </c:pt>
              </c:strCache>
            </c:strRef>
          </c:cat>
          <c:val>
            <c:numRef>
              <c:f>Hoja1!$C$6:$E$6</c:f>
              <c:numCache>
                <c:formatCode>0.0%</c:formatCode>
                <c:ptCount val="3"/>
                <c:pt idx="0">
                  <c:v>6.0000000000000114E-3</c:v>
                </c:pt>
                <c:pt idx="1">
                  <c:v>1.2E-2</c:v>
                </c:pt>
                <c:pt idx="2">
                  <c:v>1.0000000000000005E-2</c:v>
                </c:pt>
              </c:numCache>
            </c:numRef>
          </c:val>
        </c:ser>
        <c:ser>
          <c:idx val="3"/>
          <c:order val="3"/>
          <c:tx>
            <c:strRef>
              <c:f>Hoja1!$B$8</c:f>
              <c:strCache>
                <c:ptCount val="1"/>
                <c:pt idx="0">
                  <c:v>M-005</c:v>
                </c:pt>
              </c:strCache>
            </c:strRef>
          </c:tx>
          <c:cat>
            <c:strRef>
              <c:f>Hoja1!$C$3:$F$3</c:f>
              <c:strCache>
                <c:ptCount val="4"/>
                <c:pt idx="0">
                  <c:v>Enero</c:v>
                </c:pt>
                <c:pt idx="1">
                  <c:v>Febrero</c:v>
                </c:pt>
                <c:pt idx="2">
                  <c:v>Marzo</c:v>
                </c:pt>
                <c:pt idx="3">
                  <c:v>Abril</c:v>
                </c:pt>
              </c:strCache>
            </c:strRef>
          </c:cat>
          <c:val>
            <c:numRef>
              <c:f>Hoja1!$C$8:$F$8</c:f>
              <c:numCache>
                <c:formatCode>0.0%</c:formatCode>
                <c:ptCount val="4"/>
                <c:pt idx="0">
                  <c:v>1.0000000000000005E-2</c:v>
                </c:pt>
                <c:pt idx="1">
                  <c:v>1.4E-2</c:v>
                </c:pt>
                <c:pt idx="2">
                  <c:v>1.2E-2</c:v>
                </c:pt>
              </c:numCache>
            </c:numRef>
          </c:val>
        </c:ser>
        <c:axId val="113683072"/>
        <c:axId val="113684864"/>
      </c:barChart>
      <c:catAx>
        <c:axId val="113683072"/>
        <c:scaling>
          <c:orientation val="minMax"/>
        </c:scaling>
        <c:axPos val="b"/>
        <c:tickLblPos val="nextTo"/>
        <c:txPr>
          <a:bodyPr/>
          <a:lstStyle/>
          <a:p>
            <a:pPr>
              <a:defRPr lang="es-CO"/>
            </a:pPr>
            <a:endParaRPr lang="es-ES"/>
          </a:p>
        </c:txPr>
        <c:crossAx val="113684864"/>
        <c:crosses val="autoZero"/>
        <c:auto val="1"/>
        <c:lblAlgn val="ctr"/>
        <c:lblOffset val="100"/>
      </c:catAx>
      <c:valAx>
        <c:axId val="113684864"/>
        <c:scaling>
          <c:orientation val="minMax"/>
        </c:scaling>
        <c:axPos val="l"/>
        <c:numFmt formatCode="0.0%" sourceLinked="1"/>
        <c:tickLblPos val="nextTo"/>
        <c:txPr>
          <a:bodyPr/>
          <a:lstStyle/>
          <a:p>
            <a:pPr>
              <a:defRPr lang="es-CO"/>
            </a:pPr>
            <a:endParaRPr lang="es-ES"/>
          </a:p>
        </c:txPr>
        <c:crossAx val="113683072"/>
        <c:crosses val="autoZero"/>
        <c:crossBetween val="between"/>
      </c:valAx>
    </c:plotArea>
    <c:legend>
      <c:legendPos val="r"/>
      <c:layout>
        <c:manualLayout>
          <c:xMode val="edge"/>
          <c:yMode val="edge"/>
          <c:x val="0.74401928915025051"/>
          <c:y val="0.40621484874421332"/>
          <c:w val="0.14706990327573391"/>
          <c:h val="0.24508816228434341"/>
        </c:manualLayout>
      </c:layout>
      <c:txPr>
        <a:bodyPr/>
        <a:lstStyle/>
        <a:p>
          <a:pPr>
            <a:defRPr lang="es-CO"/>
          </a:pPr>
          <a:endParaRPr lang="es-ES"/>
        </a:p>
      </c:txPr>
    </c:legend>
    <c:plotVisOnly val="1"/>
    <c:dispBlanksAs val="gap"/>
  </c:chart>
  <c:spPr>
    <a:solidFill>
      <a:schemeClr val="accent1">
        <a:lumMod val="20000"/>
        <a:lumOff val="80000"/>
      </a:schemeClr>
    </a:solidFill>
  </c:spPr>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2011-12-07T23:44:00Z</dcterms:created>
  <dcterms:modified xsi:type="dcterms:W3CDTF">2011-12-07T23:44:00Z</dcterms:modified>
</cp:coreProperties>
</file>