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7B" w:rsidRPr="004735D1" w:rsidRDefault="004735D1" w:rsidP="004735D1">
      <w:pPr>
        <w:jc w:val="center"/>
        <w:rPr>
          <w:sz w:val="32"/>
          <w:szCs w:val="32"/>
        </w:rPr>
      </w:pPr>
      <w:r w:rsidRPr="004735D1">
        <w:rPr>
          <w:sz w:val="32"/>
          <w:szCs w:val="32"/>
          <w:highlight w:val="yellow"/>
        </w:rPr>
        <w:t>Un sistema di riferimento inerziale è un sistema di riferimento fermo o che si muove di moto rettilineo uniforme. Questo significa, cioè, che vale sempre il primo principio della dinamica.</w:t>
      </w:r>
    </w:p>
    <w:sectPr w:rsidR="0032757B" w:rsidRPr="004735D1" w:rsidSect="00F82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5D1"/>
    <w:rsid w:val="004735D1"/>
    <w:rsid w:val="00555EE4"/>
    <w:rsid w:val="00F73C8B"/>
    <w:rsid w:val="00F8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2012-02-21T09:38:00Z</dcterms:created>
  <dcterms:modified xsi:type="dcterms:W3CDTF">2012-02-21T09:40:00Z</dcterms:modified>
</cp:coreProperties>
</file>