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64" w:rsidRPr="00E47464" w:rsidRDefault="004C3980" w:rsidP="004C3980">
      <w:pPr>
        <w:jc w:val="both"/>
        <w:rPr>
          <w:rFonts w:ascii="Comic Sans MS" w:hAnsi="Comic Sans MS"/>
          <w:noProof/>
          <w:sz w:val="36"/>
          <w:szCs w:val="36"/>
          <w:lang w:eastAsia="es-AR"/>
        </w:rPr>
      </w:pPr>
      <w:r>
        <w:rPr>
          <w:rFonts w:ascii="Comic Sans MS" w:hAnsi="Comic Sans MS"/>
          <w:noProof/>
          <w:sz w:val="36"/>
          <w:szCs w:val="36"/>
          <w:lang w:eastAsia="es-AR"/>
        </w:rPr>
        <w:t xml:space="preserve">                                        </w:t>
      </w:r>
      <w:r w:rsidR="00E47464" w:rsidRPr="00E47464">
        <w:rPr>
          <w:rFonts w:ascii="Comic Sans MS" w:hAnsi="Comic Sans MS"/>
          <w:noProof/>
          <w:sz w:val="36"/>
          <w:szCs w:val="36"/>
          <w:lang w:val="es-ES"/>
        </w:rPr>
        <w:pict>
          <v:rect id="_x0000_s1026" style="position:absolute;left:0;text-align:left;margin-left:0;margin-top:0;width:515.35pt;height:162.85pt;flip:x;z-index:25166028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6;mso-fit-shape-to-text:t" inset="36pt,0,10.8pt,0">
              <w:txbxContent>
                <w:p w:rsidR="00D47790" w:rsidRDefault="00D47790" w:rsidP="00D47790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both"/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u w:val="single"/>
                      <w:lang w:val="es-ES"/>
                    </w:rPr>
                    <w:t>El juego trabajo:</w:t>
                  </w:r>
                  <w:r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 xml:space="preserve"> Consiste</w:t>
                  </w:r>
                  <w:r w:rsidR="00E47464"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 xml:space="preserve"> en el modo de organizar</w:t>
                  </w:r>
                  <w:r w:rsidR="004C3980"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 xml:space="preserve"> y  desarrollar la manera en la cual los niños trabajaran, en la </w:t>
                  </w:r>
                </w:p>
                <w:p w:rsidR="00F921B9" w:rsidRPr="00F921B9" w:rsidRDefault="00D47790" w:rsidP="00D47790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both"/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>preparación</w:t>
                  </w:r>
                  <w:r w:rsidR="004C3980"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 xml:space="preserve"> de</w:t>
                  </w:r>
                  <w:r>
                    <w:rPr>
                      <w:rFonts w:ascii="Comic Sans MS" w:eastAsiaTheme="majorEastAsia" w:hAnsi="Comic Sans MS" w:cstheme="majorBidi"/>
                      <w:i/>
                      <w:iCs/>
                      <w:noProof/>
                      <w:color w:val="FFFFFF" w:themeColor="background1"/>
                      <w:sz w:val="36"/>
                      <w:szCs w:val="36"/>
                      <w:lang w:eastAsia="es-AR"/>
                    </w:rPr>
                    <w:drawing>
                      <wp:inline distT="0" distB="0" distL="0" distR="0">
                        <wp:extent cx="1695450" cy="1073150"/>
                        <wp:effectExtent l="38100" t="0" r="19050" b="298450"/>
                        <wp:docPr id="13" name="Imagen 2" descr="C:\Users\sole\Downloads\juego trabaj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ole\Downloads\juego trabaj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07315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C3980"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 xml:space="preserve"> materiales partiendo de una experiencia directa, una propuesta de actividad que se basa en la organización de diferentes sectores de juego en los cuales se desarrollan diversas propuestas, a fin de presentar la posibilidad de que los niños e</w:t>
                  </w:r>
                  <w:r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>lijan los juegos de su interés</w:t>
                  </w:r>
                  <w:r w:rsidR="001A6615"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>, y a qué sector incorporarse a jugar.</w:t>
                  </w:r>
                  <w:r w:rsidR="00F921B9">
                    <w:rPr>
                      <w:rFonts w:ascii="Comic Sans MS" w:eastAsiaTheme="majorEastAsia" w:hAnsi="Comic Sans MS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s-ES"/>
                    </w:rPr>
                    <w:t xml:space="preserve"> Según el diseño curricular, el juego trabajo es el momento en el cual se acentúa lo placentero del juego con el esfuerzo del trabajo.</w:t>
                  </w:r>
                </w:p>
              </w:txbxContent>
            </v:textbox>
            <w10:wrap type="square" anchorx="page" anchory="page"/>
          </v:rect>
        </w:pict>
      </w:r>
    </w:p>
    <w:sectPr w:rsidR="00E47464" w:rsidRPr="00E47464" w:rsidSect="00C06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464"/>
    <w:rsid w:val="001A6615"/>
    <w:rsid w:val="004C3980"/>
    <w:rsid w:val="0080614F"/>
    <w:rsid w:val="00C06573"/>
    <w:rsid w:val="00D47790"/>
    <w:rsid w:val="00E47464"/>
    <w:rsid w:val="00F6172D"/>
    <w:rsid w:val="00F9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C070C-63E6-48A8-ABAB-047A0429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4</cp:revision>
  <dcterms:created xsi:type="dcterms:W3CDTF">2013-06-13T01:49:00Z</dcterms:created>
  <dcterms:modified xsi:type="dcterms:W3CDTF">2013-06-13T02:20:00Z</dcterms:modified>
</cp:coreProperties>
</file>