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6" w:rsidRPr="00912615" w:rsidRDefault="00912615" w:rsidP="00912615">
      <w:r w:rsidRPr="00912615">
        <w:t>Recursos: La política de estado está enfocada a brindar cobertura, a costa de calidad con visibles casos de hacinamiento en las aulas. No existen las suficientes aulas específicas  como por ejemplo  aulas de  informática, laboratorios de inglés física y química. Se mejorar la exigencia del estado  a través de mecanismos de control, capacitación de los docentes  (profundizar en las áreas de desempeño, cognitiva, diseño de evaluaciones, interdisciplinarias, pedagogía).</w:t>
      </w:r>
      <w:bookmarkStart w:id="0" w:name="_GoBack"/>
      <w:bookmarkEnd w:id="0"/>
    </w:p>
    <w:sectPr w:rsidR="00DD4C46" w:rsidRPr="00912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CC"/>
    <w:rsid w:val="003B28CC"/>
    <w:rsid w:val="00666000"/>
    <w:rsid w:val="00912615"/>
    <w:rsid w:val="00A5429E"/>
    <w:rsid w:val="00D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machis</dc:creator>
  <cp:lastModifiedBy>machis</cp:lastModifiedBy>
  <cp:revision>4</cp:revision>
  <dcterms:created xsi:type="dcterms:W3CDTF">2014-05-20T04:42:00Z</dcterms:created>
  <dcterms:modified xsi:type="dcterms:W3CDTF">2014-05-20T04:43:00Z</dcterms:modified>
</cp:coreProperties>
</file>