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0" w:rsidRDefault="005865F0" w:rsidP="005865F0">
      <w:pPr>
        <w:jc w:val="center"/>
        <w:rPr>
          <w:rStyle w:val="apple-converted-space"/>
          <w:rFonts w:ascii="Verdana" w:hAnsi="Verdana"/>
          <w:sz w:val="36"/>
          <w:shd w:val="clear" w:color="auto" w:fill="F9F9F9"/>
        </w:rPr>
      </w:pPr>
      <w:r>
        <w:rPr>
          <w:rStyle w:val="apple-converted-space"/>
          <w:rFonts w:ascii="Verdana" w:hAnsi="Verdana"/>
          <w:sz w:val="36"/>
          <w:shd w:val="clear" w:color="auto" w:fill="F9F9F9"/>
        </w:rPr>
        <w:t>VITALISMO</w:t>
      </w:r>
    </w:p>
    <w:p w:rsidR="005865F0" w:rsidRDefault="005865F0">
      <w:pPr>
        <w:rPr>
          <w:rFonts w:ascii="Verdana" w:hAnsi="Verdana"/>
          <w:sz w:val="36"/>
          <w:shd w:val="clear" w:color="auto" w:fill="F9F9F9"/>
        </w:rPr>
      </w:pPr>
      <w:proofErr w:type="gramStart"/>
      <w:r>
        <w:rPr>
          <w:rFonts w:ascii="Verdana" w:hAnsi="Verdana"/>
          <w:sz w:val="36"/>
          <w:shd w:val="clear" w:color="auto" w:fill="F9F9F9"/>
        </w:rPr>
        <w:t>Il termine appare verso la fine del XIX</w:t>
      </w:r>
      <w:r w:rsidRPr="005865F0">
        <w:rPr>
          <w:rFonts w:ascii="Verdana" w:hAnsi="Verdana"/>
          <w:sz w:val="36"/>
          <w:shd w:val="clear" w:color="auto" w:fill="F9F9F9"/>
        </w:rPr>
        <w:t xml:space="preserve"> sec. per indicare il tratto distintivo della dottrina fisiologica di Paul Joseph </w:t>
      </w:r>
      <w:proofErr w:type="spellStart"/>
      <w:r w:rsidRPr="005865F0">
        <w:rPr>
          <w:rFonts w:ascii="Verdana" w:hAnsi="Verdana"/>
          <w:sz w:val="36"/>
          <w:shd w:val="clear" w:color="auto" w:fill="F9F9F9"/>
        </w:rPr>
        <w:t>Barthez</w:t>
      </w:r>
      <w:proofErr w:type="spellEnd"/>
      <w:r w:rsidRPr="005865F0">
        <w:rPr>
          <w:rFonts w:ascii="Verdana" w:hAnsi="Verdana"/>
          <w:sz w:val="36"/>
          <w:shd w:val="clear" w:color="auto" w:fill="F9F9F9"/>
        </w:rPr>
        <w:t xml:space="preserve"> e di altri </w:t>
      </w:r>
      <w:proofErr w:type="gramEnd"/>
      <w:r w:rsidRPr="005865F0">
        <w:rPr>
          <w:rFonts w:ascii="Verdana" w:hAnsi="Verdana"/>
          <w:sz w:val="36"/>
          <w:shd w:val="clear" w:color="auto" w:fill="F9F9F9"/>
        </w:rPr>
        <w:t xml:space="preserve">medici della scuola di Montpellier. Esso è usato dalla storiografia filosofica per caratterizzare una concezione del vivente che, </w:t>
      </w:r>
      <w:proofErr w:type="gramStart"/>
      <w:r w:rsidRPr="005865F0">
        <w:rPr>
          <w:rFonts w:ascii="Verdana" w:hAnsi="Verdana"/>
          <w:sz w:val="36"/>
          <w:shd w:val="clear" w:color="auto" w:fill="F9F9F9"/>
        </w:rPr>
        <w:t>al di là di</w:t>
      </w:r>
      <w:proofErr w:type="gramEnd"/>
      <w:r w:rsidRPr="005865F0">
        <w:rPr>
          <w:rFonts w:ascii="Verdana" w:hAnsi="Verdana"/>
          <w:sz w:val="36"/>
          <w:shd w:val="clear" w:color="auto" w:fill="F9F9F9"/>
        </w:rPr>
        <w:t xml:space="preserve"> possibili varianti, presenta due elementi ricorrenti: </w:t>
      </w:r>
    </w:p>
    <w:p w:rsidR="005865F0" w:rsidRDefault="005865F0">
      <w:pPr>
        <w:rPr>
          <w:rFonts w:ascii="Verdana" w:hAnsi="Verdana"/>
          <w:sz w:val="36"/>
          <w:shd w:val="clear" w:color="auto" w:fill="F9F9F9"/>
        </w:rPr>
      </w:pPr>
      <w:proofErr w:type="gramStart"/>
      <w:r w:rsidRPr="005865F0">
        <w:rPr>
          <w:rFonts w:ascii="Verdana" w:hAnsi="Verdana"/>
          <w:sz w:val="36"/>
          <w:shd w:val="clear" w:color="auto" w:fill="F9F9F9"/>
        </w:rPr>
        <w:t>(1</w:t>
      </w:r>
      <w:proofErr w:type="gramEnd"/>
      <w:r w:rsidRPr="005865F0">
        <w:rPr>
          <w:rFonts w:ascii="Verdana" w:hAnsi="Verdana"/>
          <w:sz w:val="36"/>
          <w:shd w:val="clear" w:color="auto" w:fill="F9F9F9"/>
        </w:rPr>
        <w:t xml:space="preserve">) il richiamo alla specificità e alla differenza dei fenomeni vitali rispetto ai fenomeni dei corpi inanimati; </w:t>
      </w:r>
    </w:p>
    <w:p w:rsidR="005865F0" w:rsidRDefault="005865F0">
      <w:pPr>
        <w:rPr>
          <w:rFonts w:ascii="Verdana" w:hAnsi="Verdana"/>
          <w:sz w:val="36"/>
          <w:shd w:val="clear" w:color="auto" w:fill="F9F9F9"/>
        </w:rPr>
      </w:pPr>
      <w:proofErr w:type="gramStart"/>
      <w:r w:rsidRPr="005865F0">
        <w:rPr>
          <w:rFonts w:ascii="Verdana" w:hAnsi="Verdana"/>
          <w:sz w:val="36"/>
          <w:shd w:val="clear" w:color="auto" w:fill="F9F9F9"/>
        </w:rPr>
        <w:t>(2</w:t>
      </w:r>
      <w:proofErr w:type="gramEnd"/>
      <w:r w:rsidRPr="005865F0">
        <w:rPr>
          <w:rFonts w:ascii="Verdana" w:hAnsi="Verdana"/>
          <w:sz w:val="36"/>
          <w:shd w:val="clear" w:color="auto" w:fill="F9F9F9"/>
        </w:rPr>
        <w:t xml:space="preserve">) la tesi secondo la quale la costruzione regolare, la struttura organizzata e l’integrazione delle parti e delle funzioni riscontrabili nell’essere vivente derivano da un principio di attività che non è riconducibile alla materia. </w:t>
      </w:r>
    </w:p>
    <w:p w:rsidR="00434BCF" w:rsidRPr="005865F0" w:rsidRDefault="005865F0">
      <w:pPr>
        <w:rPr>
          <w:rFonts w:ascii="Verdana" w:hAnsi="Verdana"/>
          <w:sz w:val="36"/>
        </w:rPr>
      </w:pPr>
      <w:r w:rsidRPr="005865F0">
        <w:rPr>
          <w:rFonts w:ascii="Verdana" w:hAnsi="Verdana"/>
          <w:sz w:val="36"/>
          <w:shd w:val="clear" w:color="auto" w:fill="F9F9F9"/>
        </w:rPr>
        <w:t>Con una certa frequenza a questa tesi è unita l’idea che nell’Universo tutto è vivente. Il termine designa allora una visione generale della realtà.</w:t>
      </w:r>
      <w:r w:rsidRPr="005865F0">
        <w:rPr>
          <w:rStyle w:val="apple-converted-space"/>
          <w:rFonts w:ascii="Verdana" w:hAnsi="Verdana"/>
          <w:sz w:val="36"/>
          <w:shd w:val="clear" w:color="auto" w:fill="F9F9F9"/>
        </w:rPr>
        <w:t> </w:t>
      </w:r>
    </w:p>
    <w:sectPr w:rsidR="00434BCF" w:rsidRPr="005865F0" w:rsidSect="002E5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865F0"/>
    <w:rsid w:val="002E527C"/>
    <w:rsid w:val="005865F0"/>
    <w:rsid w:val="008C3257"/>
    <w:rsid w:val="00924713"/>
    <w:rsid w:val="00C45016"/>
    <w:rsid w:val="00DB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865F0"/>
  </w:style>
  <w:style w:type="character" w:styleId="Collegamentoipertestuale">
    <w:name w:val="Hyperlink"/>
    <w:basedOn w:val="Carpredefinitoparagrafo"/>
    <w:uiPriority w:val="99"/>
    <w:semiHidden/>
    <w:unhideWhenUsed/>
    <w:rsid w:val="0058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2</cp:revision>
  <dcterms:created xsi:type="dcterms:W3CDTF">2014-10-16T14:43:00Z</dcterms:created>
  <dcterms:modified xsi:type="dcterms:W3CDTF">2014-10-16T14:53:00Z</dcterms:modified>
</cp:coreProperties>
</file>