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C9" w:rsidRPr="00373EC9" w:rsidRDefault="00373EC9">
      <w:pPr>
        <w:rPr>
          <w:rFonts w:ascii="Times New Roman" w:hAnsi="Times New Roman" w:cs="Times New Roman"/>
          <w:sz w:val="24"/>
          <w:szCs w:val="24"/>
        </w:rPr>
      </w:pPr>
      <w:r w:rsidRPr="00373EC9">
        <w:rPr>
          <w:rFonts w:ascii="Times New Roman" w:hAnsi="Times New Roman" w:cs="Times New Roman"/>
          <w:sz w:val="24"/>
          <w:szCs w:val="24"/>
        </w:rPr>
        <w:t>1.5 Importancia</w:t>
      </w:r>
    </w:p>
    <w:p w:rsidR="00B237C3" w:rsidRPr="00373EC9" w:rsidRDefault="00373EC9">
      <w:pPr>
        <w:rPr>
          <w:rFonts w:ascii="Times New Roman" w:hAnsi="Times New Roman" w:cs="Times New Roman"/>
          <w:sz w:val="24"/>
          <w:szCs w:val="24"/>
        </w:rPr>
      </w:pPr>
      <w:r w:rsidRPr="00373EC9">
        <w:rPr>
          <w:rFonts w:ascii="Times New Roman" w:hAnsi="Times New Roman" w:cs="Times New Roman"/>
          <w:sz w:val="24"/>
          <w:szCs w:val="24"/>
        </w:rPr>
        <w:t>Debería darse prioridad a asignar los recursos del programa de auditoría para auditar los asuntos de importancia dentro del sistema de gestión. “El alcance de un programa de auditoría debería basarse en el tamaño y la naturaleza de la organización que se audita, así como en la naturaleza, funcionalidad, complejidad y nivel de madurez del sistema de gestión que se va a auditar”</w:t>
      </w:r>
      <w:bookmarkStart w:id="0" w:name="_GoBack"/>
      <w:bookmarkEnd w:id="0"/>
    </w:p>
    <w:sectPr w:rsidR="00B237C3" w:rsidRPr="00373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C9"/>
    <w:rsid w:val="00373EC9"/>
    <w:rsid w:val="00B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Garcia</dc:creator>
  <cp:lastModifiedBy>Andrea Garcia</cp:lastModifiedBy>
  <cp:revision>1</cp:revision>
  <dcterms:created xsi:type="dcterms:W3CDTF">2015-02-16T04:50:00Z</dcterms:created>
  <dcterms:modified xsi:type="dcterms:W3CDTF">2015-02-16T04:51:00Z</dcterms:modified>
</cp:coreProperties>
</file>