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0666" w:rsidRPr="00452B0A" w:rsidRDefault="002A3CF5" w:rsidP="00452B0A">
      <w:pPr>
        <w:jc w:val="center"/>
        <w:rPr>
          <w:b/>
          <w:sz w:val="28"/>
          <w:u w:val="single"/>
        </w:rPr>
      </w:pPr>
      <w:proofErr w:type="spellStart"/>
      <w:r w:rsidRPr="00452B0A">
        <w:rPr>
          <w:b/>
          <w:sz w:val="28"/>
          <w:u w:val="single"/>
        </w:rPr>
        <w:t>Inferiorizar</w:t>
      </w:r>
      <w:proofErr w:type="spellEnd"/>
      <w:r w:rsidRPr="00452B0A">
        <w:rPr>
          <w:b/>
          <w:sz w:val="28"/>
          <w:u w:val="single"/>
        </w:rPr>
        <w:t xml:space="preserve">, </w:t>
      </w:r>
      <w:proofErr w:type="spellStart"/>
      <w:r w:rsidRPr="00452B0A">
        <w:rPr>
          <w:b/>
          <w:sz w:val="28"/>
          <w:u w:val="single"/>
        </w:rPr>
        <w:t>invisibilizar</w:t>
      </w:r>
      <w:proofErr w:type="spellEnd"/>
      <w:r w:rsidRPr="00452B0A">
        <w:rPr>
          <w:b/>
          <w:sz w:val="28"/>
          <w:u w:val="single"/>
        </w:rPr>
        <w:t>, exterminar</w:t>
      </w:r>
    </w:p>
    <w:p w:rsidR="00452B0A" w:rsidRDefault="00452B0A">
      <w:pPr>
        <w:rPr>
          <w:b/>
          <w:u w:val="single"/>
        </w:rPr>
      </w:pPr>
      <w:r w:rsidRPr="00452B0A">
        <w:t>Fragmento del libro:</w:t>
      </w:r>
      <w:r>
        <w:rPr>
          <w:b/>
          <w:u w:val="single"/>
        </w:rPr>
        <w:t xml:space="preserve"> Pedagogía de la desmemoria, </w:t>
      </w:r>
      <w:r w:rsidRPr="00452B0A">
        <w:rPr>
          <w:b/>
          <w:i/>
          <w:u w:val="single"/>
        </w:rPr>
        <w:t>crónicas y estrategias del genocidio invisible</w:t>
      </w:r>
      <w:r>
        <w:rPr>
          <w:b/>
          <w:u w:val="single"/>
        </w:rPr>
        <w:t xml:space="preserve">. Marcelo </w:t>
      </w:r>
      <w:proofErr w:type="spellStart"/>
      <w:r>
        <w:rPr>
          <w:b/>
          <w:u w:val="single"/>
        </w:rPr>
        <w:t>Valko</w:t>
      </w:r>
      <w:proofErr w:type="spellEnd"/>
    </w:p>
    <w:p w:rsidR="00452B0A" w:rsidRPr="00452B0A" w:rsidRDefault="00452B0A">
      <w:r w:rsidRPr="00452B0A">
        <w:t>Ediciones Madres de plaza de Mayo. 2010</w:t>
      </w:r>
    </w:p>
    <w:p w:rsidR="002A3CF5" w:rsidRDefault="002A3CF5">
      <w:r>
        <w:t>Todo genocidio es heredero de un genocidio anterior. Matanza hereda matanza.la desmemoria hereda olvido. La impunidad traslada el espanto una y otra vez y la invisibilidad se instala. No existe genocidio sin la complicidad de las mayorías. Y no existe la necesaria dosis de complicidad sin una buena coartada que justifique la indiferencia y el silencio general frente a la matanza</w:t>
      </w:r>
      <w:proofErr w:type="gramStart"/>
      <w:r>
        <w:t>.(</w:t>
      </w:r>
      <w:proofErr w:type="gramEnd"/>
      <w:r>
        <w:t>…).</w:t>
      </w:r>
    </w:p>
    <w:p w:rsidR="002A3CF5" w:rsidRDefault="002A3CF5">
      <w:r>
        <w:t xml:space="preserve">A lo largo de la historia se cometieron numerosas aberraciones que grupos étnicos o estados nacionales enmascararon con distintos ropajes para eliminar al Otro al que se desviste de memoria y se le sustituye el futuro, se lo desnuda de su condición de hombre y se lo </w:t>
      </w:r>
      <w:proofErr w:type="spellStart"/>
      <w:r>
        <w:t>invisibiliza</w:t>
      </w:r>
      <w:proofErr w:type="spellEnd"/>
      <w:r>
        <w:t xml:space="preserve"> para luego exterminarlo. El otro, ese extraño, extranjero, diferente, anormal o subhumano, es otro que no comparte las cualidades esenciales del grupo que ejecuta la matanza. La religión, la biología, la ciencia o la filosofía, brindan la cobertura ideológica y las excusas necesarias para cada ocasión en que es necesario poner en práctica este mecanismo.</w:t>
      </w:r>
    </w:p>
    <w:p w:rsidR="002A3CF5" w:rsidRDefault="002A3CF5">
      <w:r>
        <w:t>(…)</w:t>
      </w:r>
    </w:p>
    <w:p w:rsidR="002A3CF5" w:rsidRDefault="002A3CF5">
      <w:r>
        <w:t xml:space="preserve">No creer en el Dios correcto implica carecer de la dosis de divinidad que el creador infundió en el grupo elegido al moldearlo a su imagen y semejanza. Inocular esa luz y esa palabra a los infieles será un reto difícil para los misioneros que pondrán en práctica un amplio abanico metodológico donde no siempre la paciencia será la principal virtud como se evidencia en el texto </w:t>
      </w:r>
      <w:r w:rsidRPr="002A3CF5">
        <w:rPr>
          <w:i/>
        </w:rPr>
        <w:t xml:space="preserve">De </w:t>
      </w:r>
      <w:proofErr w:type="spellStart"/>
      <w:r w:rsidRPr="002A3CF5">
        <w:rPr>
          <w:i/>
        </w:rPr>
        <w:t>Procuranda</w:t>
      </w:r>
      <w:proofErr w:type="spellEnd"/>
      <w:r>
        <w:t xml:space="preserve"> del jesuita José de Acosta escrito hacia 1580: “la condición de los bárbaros de este nuevo mundo por lo común es tal, que como fieras, que si no se les hace alguna fuerza nunca llegarán a vestirse de la libertad y naturaleza de hijos de Dios”.</w:t>
      </w:r>
    </w:p>
    <w:p w:rsidR="002A3CF5" w:rsidRDefault="002A3CF5">
      <w:pPr>
        <w:rPr>
          <w:i/>
        </w:rPr>
      </w:pPr>
      <w:r>
        <w:t xml:space="preserve">Las </w:t>
      </w:r>
      <w:r w:rsidR="00F62FD9">
        <w:t>mínimas</w:t>
      </w:r>
      <w:r>
        <w:t xml:space="preserve"> diferencias de biotipo sirven para discriminar a ese “otro extraño”: los pómulos salientes</w:t>
      </w:r>
      <w:r w:rsidR="00F62FD9">
        <w:t xml:space="preserve">, una nariz de base ancha, en especial el matiz de la piel será la “más popular” de las pruebas de inferioridad del otro y saldrá a relucir hasta bien entrado el siglo XX como en una publicación salesiana que se refiere de esta manera a la tez e los mapuches “a quienes Dios cubrió con una piel de diferente color que la nuestra” (Armas 1967:22). En algunos casos los eruditos logran percibir diferencias hasta en las estructuras óseas. Semejantes poderes clarividentes ya los podemos encontrar en Gonzalo Fernández de Oviedo cuando describe a los naturales en su </w:t>
      </w:r>
      <w:r w:rsidR="00F62FD9" w:rsidRPr="00F62FD9">
        <w:rPr>
          <w:i/>
        </w:rPr>
        <w:t>Crónica de las Indias</w:t>
      </w:r>
      <w:r w:rsidR="00F62FD9">
        <w:rPr>
          <w:i/>
        </w:rPr>
        <w:t>:</w:t>
      </w:r>
    </w:p>
    <w:p w:rsidR="00F62FD9" w:rsidRDefault="00F62FD9">
      <w:r>
        <w:rPr>
          <w:i/>
        </w:rPr>
        <w:t>(…) tampoco tenían las cabezas ni las tienen como otras gentes, sino de tan recias y gruesos cascos (el cráneo) que el principal aviso que los cristianos tienen cuando ellos pelean, es no darle cuchillas en la cabeza porque se rompen las espadas. Y así como tienen el casco grueso, así tienen el entendimiento bestial y mal inclinado. (Fernández de Oviedo 1547: 57)</w:t>
      </w:r>
    </w:p>
    <w:p w:rsidR="002A3CF5" w:rsidRDefault="00F62FD9">
      <w:r>
        <w:lastRenderedPageBreak/>
        <w:t>(…) el debate público donde se decide el origen ontológico y por ende el destino de los americanos, se formula en latín y será presenciado por teólogos y doctores como Melchor Cano y Domingo de Soto e incluso</w:t>
      </w:r>
      <w:r w:rsidR="00452B0A">
        <w:t xml:space="preserve"> </w:t>
      </w:r>
      <w:r>
        <w:t>varios capitanes que han regresado de América como Bernal</w:t>
      </w:r>
      <w:r w:rsidR="00452B0A">
        <w:t xml:space="preserve"> </w:t>
      </w:r>
      <w:proofErr w:type="spellStart"/>
      <w:r w:rsidR="00452B0A">
        <w:t>Diaz</w:t>
      </w:r>
      <w:proofErr w:type="spellEnd"/>
      <w:r w:rsidR="00452B0A">
        <w:t xml:space="preserve"> del Castillo. En Valladolid se sustancia una polémica que había nacido en cuanto Colón regresó del primer viaje a Las Indias ¿Eran humanos los habitantes descubiertos? ¿Era lícito esclavizarlos? ¿Pueden alcanzar la fe</w:t>
      </w:r>
      <w:proofErr w:type="gramStart"/>
      <w:r w:rsidR="00452B0A">
        <w:t>?.</w:t>
      </w:r>
      <w:proofErr w:type="gramEnd"/>
    </w:p>
    <w:p w:rsidR="00452B0A" w:rsidRDefault="00452B0A"/>
    <w:sectPr w:rsidR="00452B0A" w:rsidSect="00BB0666">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A3CF5"/>
    <w:rsid w:val="002A3CF5"/>
    <w:rsid w:val="003C6A4A"/>
    <w:rsid w:val="00452B0A"/>
    <w:rsid w:val="00964554"/>
    <w:rsid w:val="00AC49DA"/>
    <w:rsid w:val="00BB0666"/>
    <w:rsid w:val="00F62FD9"/>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0666"/>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523</Words>
  <Characters>2881</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Yanil Fernandez</dc:creator>
  <cp:lastModifiedBy>Yanil Fernandez</cp:lastModifiedBy>
  <cp:revision>2</cp:revision>
  <dcterms:created xsi:type="dcterms:W3CDTF">2015-08-28T23:33:00Z</dcterms:created>
  <dcterms:modified xsi:type="dcterms:W3CDTF">2015-08-28T23:33:00Z</dcterms:modified>
</cp:coreProperties>
</file>