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5" w:rsidRPr="00F70645" w:rsidRDefault="00F70645" w:rsidP="00F70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F70645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>
        <w:rPr>
          <w:rFonts w:ascii="Times New Roman" w:eastAsia="TradeGothicLTStd-Cn18" w:hAnsi="Times New Roman" w:cs="Times New Roman"/>
          <w:color w:val="1A1A1A"/>
          <w:sz w:val="72"/>
          <w:szCs w:val="18"/>
        </w:rPr>
        <w:t>Profundidad de signifi</w:t>
      </w:r>
      <w:r w:rsidRPr="00F70645">
        <w:rPr>
          <w:rFonts w:ascii="Times New Roman" w:eastAsia="TradeGothicLTStd-Cn18" w:hAnsi="Times New Roman" w:cs="Times New Roman"/>
          <w:color w:val="1A1A1A"/>
          <w:sz w:val="72"/>
          <w:szCs w:val="18"/>
        </w:rPr>
        <w:t>cados</w:t>
      </w:r>
    </w:p>
    <w:p w:rsidR="00F70645" w:rsidRPr="00F70645" w:rsidRDefault="00F70645" w:rsidP="00F70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F70645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F70645">
        <w:rPr>
          <w:rFonts w:ascii="Times New Roman" w:eastAsia="TradeGothicLTStd-Cn18" w:hAnsi="Times New Roman" w:cs="Times New Roman"/>
          <w:color w:val="1A1A1A"/>
          <w:sz w:val="72"/>
          <w:szCs w:val="18"/>
        </w:rPr>
        <w:t>Amplitud</w:t>
      </w:r>
    </w:p>
    <w:p w:rsidR="00F70645" w:rsidRPr="00F70645" w:rsidRDefault="00F70645" w:rsidP="00F70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F70645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F70645">
        <w:rPr>
          <w:rFonts w:ascii="Times New Roman" w:eastAsia="TradeGothicLTStd-Cn18" w:hAnsi="Times New Roman" w:cs="Times New Roman"/>
          <w:color w:val="1A1A1A"/>
          <w:sz w:val="72"/>
          <w:szCs w:val="18"/>
        </w:rPr>
        <w:t>Riqueza interpretativa</w:t>
      </w:r>
    </w:p>
    <w:p w:rsidR="00B56C7A" w:rsidRPr="00F70645" w:rsidRDefault="00F70645" w:rsidP="00F70645">
      <w:pPr>
        <w:spacing w:line="360" w:lineRule="auto"/>
        <w:jc w:val="both"/>
        <w:rPr>
          <w:rFonts w:ascii="Times New Roman" w:hAnsi="Times New Roman" w:cs="Times New Roman"/>
          <w:sz w:val="160"/>
        </w:rPr>
      </w:pPr>
      <w:r w:rsidRPr="00F70645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F70645">
        <w:rPr>
          <w:rFonts w:ascii="Times New Roman" w:eastAsia="TradeGothicLTStd-Cn18" w:hAnsi="Times New Roman" w:cs="Times New Roman"/>
          <w:color w:val="1A1A1A"/>
          <w:sz w:val="72"/>
          <w:szCs w:val="18"/>
        </w:rPr>
        <w:t>Contextualiza el fenómeno</w:t>
      </w:r>
    </w:p>
    <w:sectPr w:rsidR="00B56C7A" w:rsidRPr="00F70645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Cn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70645"/>
    <w:rsid w:val="000831A8"/>
    <w:rsid w:val="00CD42C8"/>
    <w:rsid w:val="00D00FAB"/>
    <w:rsid w:val="00F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2015-10-18T22:10:00Z</dcterms:created>
  <dcterms:modified xsi:type="dcterms:W3CDTF">2015-10-18T22:11:00Z</dcterms:modified>
</cp:coreProperties>
</file>