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color w:val="000000"/>
          <w:sz w:val="72"/>
          <w:szCs w:val="72"/>
        </w:rPr>
      </w:pPr>
      <w:r w:rsidRPr="007C130A">
        <w:rPr>
          <w:rFonts w:ascii="Aharoni" w:hAnsi="Aharoni" w:cs="Aharoni"/>
          <w:b/>
          <w:bCs/>
          <w:color w:val="000000"/>
          <w:sz w:val="72"/>
          <w:szCs w:val="72"/>
        </w:rPr>
        <w:t>Consumo de drogas y alcohol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color w:val="000000"/>
          <w:sz w:val="72"/>
          <w:szCs w:val="72"/>
        </w:rPr>
      </w:pP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bookmarkStart w:id="0" w:name="_GoBack"/>
      <w:bookmarkEnd w:id="0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El consumo de </w:t>
      </w: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 xml:space="preserve">bebidas alcohólicas </w:t>
      </w:r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y otras </w:t>
      </w: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 xml:space="preserve">drogas </w:t>
      </w:r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producen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una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reducción en la inhibición que también puede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estimular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la actividad sexual no deseada. Aunque esto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fuera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así, no se sabe si las drogas mismas influyen directamente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en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los adolescentes en comportamientos sexuales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más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arriesgados, o si los adolescentes que habitualmente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45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consumen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drogas son más propensos a tener </w:t>
      </w: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>relaciones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>sexuales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. Debe advertirse que la </w:t>
      </w: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 xml:space="preserve">correlación </w:t>
      </w:r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no implica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>causalidad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. El consumo de drogas y medicamentos que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han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mostrado evidencias en su vinculación con el embarazo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de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adolescentes son: </w:t>
      </w: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>alcohol</w:t>
      </w:r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, y </w:t>
      </w: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>anfetaminas</w:t>
      </w:r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, (incluyendo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 xml:space="preserve">MDMA </w:t>
      </w:r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–éxtasis–). Otras drogas y medicamentos que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no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tienen correlación –o es muy escasa– son los </w:t>
      </w: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>opiáceos</w:t>
      </w:r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,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como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</w:t>
      </w: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>heroína</w:t>
      </w:r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, </w:t>
      </w: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>morfina</w:t>
      </w:r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, y </w:t>
      </w:r>
      <w:proofErr w:type="spellStart"/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>oxicodona</w:t>
      </w:r>
      <w:proofErr w:type="spell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, de los que es conocido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el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efecto directo en la reducción significativa de la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>libido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. Parece que en la adolescencia el consumo de algunas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de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éstas últimas ha reducido significativamente las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tasas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de concepción frente a las drogas como el </w:t>
      </w: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 xml:space="preserve">alcohol </w:t>
      </w:r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y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la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</w:t>
      </w: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>anfetamina</w:t>
      </w:r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. Las anfetaminas son ampliamente </w:t>
      </w: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prescritos</w:t>
      </w:r>
      <w:proofErr w:type="gramEnd"/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para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el tratamiento de </w:t>
      </w:r>
      <w:r w:rsidRPr="007C130A">
        <w:rPr>
          <w:rFonts w:ascii="FreeSerif-Identity-H" w:hAnsi="FreeSerif-Identity-H" w:cs="FreeSerif-Identity-H"/>
          <w:color w:val="450000"/>
          <w:sz w:val="32"/>
          <w:szCs w:val="32"/>
        </w:rPr>
        <w:t>TDAH</w:t>
      </w:r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. Los países con las tasas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más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altas de prescripción de las anfetaminas a los adolescentes</w:t>
      </w:r>
    </w:p>
    <w:p w:rsidR="007C130A" w:rsidRPr="007C130A" w:rsidRDefault="007C130A" w:rsidP="007C130A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también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tienen las tasas más altas de embarazo en</w:t>
      </w:r>
    </w:p>
    <w:p w:rsidR="00206814" w:rsidRPr="007C130A" w:rsidRDefault="007C130A" w:rsidP="007C130A">
      <w:pPr>
        <w:rPr>
          <w:sz w:val="32"/>
          <w:szCs w:val="32"/>
        </w:rPr>
      </w:pPr>
      <w:proofErr w:type="gramStart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>la</w:t>
      </w:r>
      <w:proofErr w:type="gramEnd"/>
      <w:r w:rsidRPr="007C130A">
        <w:rPr>
          <w:rFonts w:ascii="FreeSerif-Identity-H" w:hAnsi="FreeSerif-Identity-H" w:cs="FreeSerif-Identity-H"/>
          <w:color w:val="000000"/>
          <w:sz w:val="32"/>
          <w:szCs w:val="32"/>
        </w:rPr>
        <w:t xml:space="preserve"> adolescencia.</w:t>
      </w:r>
    </w:p>
    <w:sectPr w:rsidR="00206814" w:rsidRPr="007C130A" w:rsidSect="007C130A">
      <w:pgSz w:w="12240" w:h="15840"/>
      <w:pgMar w:top="1417" w:right="1701" w:bottom="1417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reeSerif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713A"/>
    <w:multiLevelType w:val="hybridMultilevel"/>
    <w:tmpl w:val="FB8A84D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D5F90"/>
    <w:multiLevelType w:val="hybridMultilevel"/>
    <w:tmpl w:val="0FB01442"/>
    <w:lvl w:ilvl="0" w:tplc="240A0009">
      <w:start w:val="1"/>
      <w:numFmt w:val="bullet"/>
      <w:lvlText w:val=""/>
      <w:lvlJc w:val="left"/>
      <w:pPr>
        <w:ind w:left="163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>
    <w:nsid w:val="57261618"/>
    <w:multiLevelType w:val="hybridMultilevel"/>
    <w:tmpl w:val="8EDC099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0752E2"/>
    <w:multiLevelType w:val="hybridMultilevel"/>
    <w:tmpl w:val="0192BE28"/>
    <w:lvl w:ilvl="0" w:tplc="240A0009">
      <w:start w:val="1"/>
      <w:numFmt w:val="bullet"/>
      <w:lvlText w:val=""/>
      <w:lvlJc w:val="left"/>
      <w:pPr>
        <w:ind w:left="195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14"/>
    <w:rsid w:val="00206814"/>
    <w:rsid w:val="007C130A"/>
    <w:rsid w:val="00D15456"/>
    <w:rsid w:val="00F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2</cp:revision>
  <dcterms:created xsi:type="dcterms:W3CDTF">2015-11-30T19:00:00Z</dcterms:created>
  <dcterms:modified xsi:type="dcterms:W3CDTF">2015-11-30T19:00:00Z</dcterms:modified>
</cp:coreProperties>
</file>