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5"/>
      </w:tblGrid>
      <w:tr w:rsidR="00B2101D" w:rsidTr="00F61DBA">
        <w:tc>
          <w:tcPr>
            <w:tcW w:w="9781" w:type="dxa"/>
            <w:shd w:val="clear" w:color="auto" w:fill="000000"/>
          </w:tcPr>
          <w:p w:rsidR="00B2101D" w:rsidRDefault="00B2101D" w:rsidP="00F61DBA">
            <w:pPr>
              <w:jc w:val="center"/>
              <w:rPr>
                <w:rFonts w:ascii="Arial" w:hAnsi="Arial" w:cs="Arial"/>
                <w:sz w:val="18"/>
                <w:szCs w:val="18"/>
              </w:rPr>
            </w:pPr>
            <w:r>
              <w:rPr>
                <w:rFonts w:ascii="Arial" w:hAnsi="Arial" w:cs="Arial"/>
                <w:sz w:val="28"/>
                <w:szCs w:val="28"/>
              </w:rPr>
              <w:t>Liste du matériel</w:t>
            </w:r>
            <w:r>
              <w:rPr>
                <w:rFonts w:ascii="Tahoma" w:hAnsi="Tahoma" w:cs="Tahoma"/>
                <w:noProof/>
                <w:sz w:val="20"/>
                <w:szCs w:val="20"/>
              </w:rPr>
              <w:t xml:space="preserve"> </w:t>
            </w:r>
          </w:p>
        </w:tc>
      </w:tr>
      <w:tr w:rsidR="00B2101D" w:rsidTr="00F61DBA">
        <w:tc>
          <w:tcPr>
            <w:tcW w:w="9781" w:type="dxa"/>
          </w:tcPr>
          <w:p w:rsidR="00B2101D" w:rsidRDefault="00B2101D" w:rsidP="00F61DBA">
            <w:pPr>
              <w:jc w:val="both"/>
              <w:rPr>
                <w:rFonts w:ascii="Arial" w:hAnsi="Arial" w:cs="Arial"/>
                <w:sz w:val="18"/>
                <w:szCs w:val="12"/>
              </w:rPr>
            </w:pP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Types de sols : sable, terre noire, terreau d’empotage</w:t>
            </w: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Contenants, par exemple des petits pots de yogourt (3 par équipe)</w:t>
            </w: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Contenants en plastique plus grands</w:t>
            </w: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Clous (pour faire les trous sous les contenants)</w:t>
            </w: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Grandes assiettes à rebord en plastique ou en aluminium</w:t>
            </w: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Entonnoirs</w:t>
            </w: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Centicubes de plastique</w:t>
            </w: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Piques à brochette</w:t>
            </w: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Cure-pipes</w:t>
            </w: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Cure-dents</w:t>
            </w: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 xml:space="preserve">Ficelle </w:t>
            </w: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 xml:space="preserve">Chiffons </w:t>
            </w: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Cylindres gradués</w:t>
            </w: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 xml:space="preserve">Béchers </w:t>
            </w: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Tasses à mesurer</w:t>
            </w: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Compte-gouttes</w:t>
            </w:r>
          </w:p>
          <w:p w:rsidR="00B2101D" w:rsidRDefault="00B2101D" w:rsidP="00B2101D">
            <w:pPr>
              <w:pStyle w:val="Footer"/>
              <w:numPr>
                <w:ilvl w:val="0"/>
                <w:numId w:val="1"/>
              </w:numPr>
              <w:tabs>
                <w:tab w:val="clear" w:pos="4320"/>
                <w:tab w:val="clear" w:pos="8640"/>
              </w:tabs>
              <w:jc w:val="both"/>
              <w:rPr>
                <w:rFonts w:ascii="Arial" w:hAnsi="Arial" w:cs="Arial"/>
                <w:noProof/>
                <w:sz w:val="22"/>
                <w:szCs w:val="22"/>
              </w:rPr>
            </w:pPr>
            <w:r>
              <w:rPr>
                <w:rFonts w:ascii="Arial" w:hAnsi="Arial" w:cs="Arial"/>
                <w:noProof/>
                <w:sz w:val="22"/>
                <w:szCs w:val="22"/>
              </w:rPr>
              <w:t>Contenants remplis d’eau et contenants vides (si la classe n’est pas munie d’un lavabo)</w:t>
            </w:r>
          </w:p>
          <w:p w:rsidR="00B2101D" w:rsidRDefault="00B2101D" w:rsidP="00F61DBA">
            <w:pPr>
              <w:pStyle w:val="Footer"/>
              <w:tabs>
                <w:tab w:val="clear" w:pos="4320"/>
                <w:tab w:val="clear" w:pos="8640"/>
              </w:tabs>
              <w:jc w:val="both"/>
              <w:rPr>
                <w:rFonts w:ascii="Arial" w:hAnsi="Arial" w:cs="Arial"/>
                <w:noProof/>
                <w:sz w:val="20"/>
                <w:szCs w:val="22"/>
              </w:rPr>
            </w:pPr>
            <w:r>
              <w:rPr>
                <w:rFonts w:ascii="Arial" w:hAnsi="Arial" w:cs="Arial"/>
                <w:bCs/>
                <w:noProof/>
                <w:sz w:val="20"/>
                <w:szCs w:val="22"/>
              </w:rPr>
              <w:t xml:space="preserve">      </w:t>
            </w:r>
            <w:r>
              <w:rPr>
                <w:rFonts w:ascii="Arial" w:hAnsi="Arial" w:cs="Arial"/>
                <w:bCs/>
                <w:noProof/>
                <w:sz w:val="20"/>
                <w:szCs w:val="22"/>
                <w:u w:val="single"/>
              </w:rPr>
              <w:t>Note</w:t>
            </w:r>
            <w:r>
              <w:rPr>
                <w:rFonts w:ascii="Arial" w:hAnsi="Arial" w:cs="Arial"/>
                <w:bCs/>
                <w:noProof/>
                <w:sz w:val="20"/>
                <w:szCs w:val="22"/>
              </w:rPr>
              <w:t xml:space="preserve">. – </w:t>
            </w:r>
            <w:r>
              <w:rPr>
                <w:rFonts w:ascii="Arial" w:hAnsi="Arial" w:cs="Arial"/>
                <w:noProof/>
                <w:sz w:val="20"/>
                <w:szCs w:val="22"/>
              </w:rPr>
              <w:t>Idéalement, utiliser le plus possible du matériel recyclé.</w:t>
            </w:r>
          </w:p>
          <w:p w:rsidR="00B2101D" w:rsidRDefault="00B2101D" w:rsidP="00F61DBA">
            <w:pPr>
              <w:pStyle w:val="Footer"/>
              <w:tabs>
                <w:tab w:val="clear" w:pos="4320"/>
                <w:tab w:val="clear" w:pos="8640"/>
              </w:tabs>
              <w:jc w:val="both"/>
              <w:rPr>
                <w:rFonts w:ascii="Arial" w:hAnsi="Arial" w:cs="Arial"/>
                <w:noProof/>
                <w:sz w:val="22"/>
                <w:szCs w:val="10"/>
              </w:rPr>
            </w:pPr>
          </w:p>
          <w:p w:rsidR="00B2101D" w:rsidRDefault="00B2101D" w:rsidP="00F61DBA">
            <w:pPr>
              <w:pStyle w:val="Footer"/>
              <w:tabs>
                <w:tab w:val="clear" w:pos="4320"/>
                <w:tab w:val="clear" w:pos="8640"/>
              </w:tabs>
              <w:ind w:left="318"/>
              <w:jc w:val="both"/>
              <w:rPr>
                <w:rFonts w:ascii="Arial" w:hAnsi="Arial" w:cs="Arial"/>
                <w:noProof/>
                <w:sz w:val="22"/>
                <w:szCs w:val="22"/>
              </w:rPr>
            </w:pPr>
            <w:r>
              <w:rPr>
                <w:rFonts w:ascii="Arial" w:hAnsi="Arial" w:cs="Arial"/>
                <w:b/>
                <w:bCs/>
                <w:noProof/>
                <w:sz w:val="22"/>
                <w:szCs w:val="22"/>
              </w:rPr>
              <w:t xml:space="preserve">Achat des types de sols et test préalable de ceux-ci : </w:t>
            </w:r>
            <w:r>
              <w:rPr>
                <w:rFonts w:ascii="Arial" w:hAnsi="Arial" w:cs="Arial"/>
                <w:noProof/>
                <w:sz w:val="22"/>
                <w:szCs w:val="22"/>
              </w:rPr>
              <w:t xml:space="preserve">Au moment de se procurer les types de sols, consulter si nécessaire un expert dans les centres d’horticulture afin de se faire conseiller judicieusement. Il est aussi très important de </w:t>
            </w:r>
            <w:r>
              <w:rPr>
                <w:rFonts w:ascii="Arial" w:hAnsi="Arial" w:cs="Arial"/>
                <w:noProof/>
                <w:sz w:val="22"/>
                <w:szCs w:val="22"/>
                <w:u w:val="single"/>
              </w:rPr>
              <w:t>tester les types de sols avant de les rendre disponibles pour les élèves à des fins d’expérimentation</w:t>
            </w:r>
            <w:r>
              <w:rPr>
                <w:rFonts w:ascii="Arial" w:hAnsi="Arial" w:cs="Arial"/>
                <w:noProof/>
                <w:sz w:val="22"/>
                <w:szCs w:val="22"/>
              </w:rPr>
              <w:t>. En principe, le type de sol qui retiendra le mieux l’eau entre les trois étudiés est le terreau d’empotage, suivi de la terre noire. Celui qui devrait laisser passer le plus l’eau est le sable.</w:t>
            </w:r>
          </w:p>
          <w:p w:rsidR="00B2101D" w:rsidRDefault="00B2101D" w:rsidP="00F61DBA">
            <w:pPr>
              <w:pStyle w:val="Footer"/>
              <w:tabs>
                <w:tab w:val="clear" w:pos="4320"/>
                <w:tab w:val="clear" w:pos="8640"/>
              </w:tabs>
              <w:ind w:left="318"/>
              <w:jc w:val="both"/>
              <w:rPr>
                <w:rFonts w:ascii="Arial" w:hAnsi="Arial" w:cs="Arial"/>
                <w:sz w:val="10"/>
                <w:szCs w:val="12"/>
                <w:highlight w:val="yellow"/>
              </w:rPr>
            </w:pPr>
          </w:p>
        </w:tc>
      </w:tr>
    </w:tbl>
    <w:p w:rsidR="00874E1D" w:rsidRDefault="00B2101D">
      <w:bookmarkStart w:id="0" w:name="_GoBack"/>
      <w:bookmarkEnd w:id="0"/>
    </w:p>
    <w:sectPr w:rsidR="00874E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42C3E"/>
    <w:multiLevelType w:val="hybridMultilevel"/>
    <w:tmpl w:val="67A8F31A"/>
    <w:lvl w:ilvl="0" w:tplc="7A72E97E">
      <w:start w:val="14"/>
      <w:numFmt w:val="bullet"/>
      <w:lvlText w:val="-"/>
      <w:lvlJc w:val="left"/>
      <w:pPr>
        <w:tabs>
          <w:tab w:val="num" w:pos="720"/>
        </w:tabs>
        <w:ind w:left="720" w:hanging="360"/>
      </w:pPr>
      <w:rPr>
        <w:rFonts w:ascii="Arial" w:eastAsia="Times New Roman" w:hAnsi="Arial" w:cs="Arial" w:hint="default"/>
      </w:rPr>
    </w:lvl>
    <w:lvl w:ilvl="1" w:tplc="040C000B">
      <w:start w:val="1"/>
      <w:numFmt w:val="bullet"/>
      <w:lvlText w:val=""/>
      <w:lvlJc w:val="left"/>
      <w:pPr>
        <w:tabs>
          <w:tab w:val="num" w:pos="1440"/>
        </w:tabs>
        <w:ind w:left="1440" w:hanging="360"/>
      </w:pPr>
      <w:rPr>
        <w:rFonts w:ascii="Wingdings" w:hAnsi="Wingdings" w:hint="default"/>
      </w:rPr>
    </w:lvl>
    <w:lvl w:ilvl="2" w:tplc="0C0C0005">
      <w:start w:val="1"/>
      <w:numFmt w:val="bullet"/>
      <w:lvlText w:val=""/>
      <w:lvlJc w:val="left"/>
      <w:pPr>
        <w:tabs>
          <w:tab w:val="num" w:pos="2160"/>
        </w:tabs>
        <w:ind w:left="2160" w:hanging="360"/>
      </w:pPr>
      <w:rPr>
        <w:rFonts w:ascii="Wingdings" w:hAnsi="Wingdings" w:hint="default"/>
      </w:rPr>
    </w:lvl>
    <w:lvl w:ilvl="3" w:tplc="BB6A8A52">
      <w:start w:val="2"/>
      <w:numFmt w:val="bullet"/>
      <w:lvlText w:val=""/>
      <w:lvlJc w:val="left"/>
      <w:pPr>
        <w:tabs>
          <w:tab w:val="num" w:pos="2880"/>
        </w:tabs>
        <w:ind w:left="2880" w:hanging="360"/>
      </w:pPr>
      <w:rPr>
        <w:rFonts w:ascii="Symbol" w:eastAsia="Times New Roman" w:hAnsi="Symbol" w:cs="Aria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1D"/>
    <w:rsid w:val="00B2101D"/>
    <w:rsid w:val="00BF534A"/>
    <w:rsid w:val="00FE5C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B8973-74C8-48B2-9DAC-1A69ABCA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01D"/>
    <w:pPr>
      <w:spacing w:after="0" w:line="240" w:lineRule="auto"/>
    </w:pPr>
    <w:rPr>
      <w:rFonts w:ascii="Univers" w:eastAsia="Times New Roman" w:hAnsi="Univers" w:cs="Univers"/>
      <w:sz w:val="24"/>
      <w:szCs w:val="24"/>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101D"/>
    <w:pPr>
      <w:tabs>
        <w:tab w:val="center" w:pos="4320"/>
        <w:tab w:val="right" w:pos="8640"/>
      </w:tabs>
    </w:pPr>
  </w:style>
  <w:style w:type="character" w:customStyle="1" w:styleId="FooterChar">
    <w:name w:val="Footer Char"/>
    <w:basedOn w:val="DefaultParagraphFont"/>
    <w:link w:val="Footer"/>
    <w:rsid w:val="00B2101D"/>
    <w:rPr>
      <w:rFonts w:ascii="Univers" w:eastAsia="Times New Roman" w:hAnsi="Univers" w:cs="Univers"/>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Riverside School Board</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18-student</dc:creator>
  <cp:keywords/>
  <dc:description/>
  <cp:lastModifiedBy>18-student</cp:lastModifiedBy>
  <cp:revision>1</cp:revision>
  <dcterms:created xsi:type="dcterms:W3CDTF">2016-04-03T22:00:00Z</dcterms:created>
  <dcterms:modified xsi:type="dcterms:W3CDTF">2016-04-03T22:00:00Z</dcterms:modified>
</cp:coreProperties>
</file>