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CBE" w:rsidRDefault="00D13CBE" w:rsidP="00D13CBE">
      <w:pPr>
        <w:spacing w:line="360" w:lineRule="auto"/>
        <w:jc w:val="both"/>
      </w:pPr>
      <w:r>
        <w:t>Preparación para hacer una reseña según Teitelbaum (2002):</w:t>
      </w:r>
    </w:p>
    <w:p w:rsidR="00D13CBE" w:rsidRDefault="00D13CBE" w:rsidP="00D13CBE">
      <w:pPr>
        <w:pStyle w:val="Prrafodelista"/>
        <w:numPr>
          <w:ilvl w:val="0"/>
          <w:numId w:val="3"/>
        </w:numPr>
        <w:spacing w:line="360" w:lineRule="auto"/>
        <w:ind w:left="1800"/>
        <w:jc w:val="both"/>
      </w:pPr>
      <w:r>
        <w:t>Evitar leer resúmenes, comentarios o propaganda anterior a la lectura del libro.</w:t>
      </w:r>
    </w:p>
    <w:p w:rsidR="00D13CBE" w:rsidRDefault="00D13CBE" w:rsidP="00D13CBE">
      <w:pPr>
        <w:pStyle w:val="Prrafodelista"/>
        <w:numPr>
          <w:ilvl w:val="0"/>
          <w:numId w:val="3"/>
        </w:numPr>
        <w:spacing w:line="360" w:lineRule="auto"/>
        <w:ind w:left="1800"/>
        <w:jc w:val="both"/>
      </w:pPr>
      <w:r>
        <w:t>Leer solamente si esta alerta y dispuesto.</w:t>
      </w:r>
    </w:p>
    <w:p w:rsidR="00D13CBE" w:rsidRDefault="00D13CBE" w:rsidP="00D13CBE">
      <w:pPr>
        <w:pStyle w:val="Prrafodelista"/>
        <w:numPr>
          <w:ilvl w:val="0"/>
          <w:numId w:val="3"/>
        </w:numPr>
        <w:spacing w:line="360" w:lineRule="auto"/>
        <w:ind w:left="1800"/>
        <w:jc w:val="both"/>
      </w:pPr>
      <w:r>
        <w:t>Leer con luz apropiada y con un minuto de distracción e interrupciones,</w:t>
      </w:r>
    </w:p>
    <w:p w:rsidR="00D13CBE" w:rsidRDefault="00D13CBE" w:rsidP="00D13CBE">
      <w:pPr>
        <w:pStyle w:val="Prrafodelista"/>
        <w:numPr>
          <w:ilvl w:val="0"/>
          <w:numId w:val="3"/>
        </w:numPr>
        <w:spacing w:line="360" w:lineRule="auto"/>
        <w:ind w:left="1800"/>
        <w:jc w:val="both"/>
      </w:pPr>
      <w:r>
        <w:t>Razona cuidadosamente el título del libro o trabajo y el significado e implicación.</w:t>
      </w:r>
    </w:p>
    <w:p w:rsidR="00D13CBE" w:rsidRDefault="00D13CBE" w:rsidP="00D13CBE">
      <w:pPr>
        <w:pStyle w:val="Prrafodelista"/>
        <w:numPr>
          <w:ilvl w:val="0"/>
          <w:numId w:val="3"/>
        </w:numPr>
        <w:spacing w:line="360" w:lineRule="auto"/>
        <w:ind w:left="1800"/>
        <w:jc w:val="both"/>
      </w:pPr>
      <w:r>
        <w:t>Leer el protocolo para familiarizarse con la intención del autor.</w:t>
      </w:r>
    </w:p>
    <w:p w:rsidR="00D13CBE" w:rsidRDefault="00D13CBE" w:rsidP="00D13CBE">
      <w:pPr>
        <w:pStyle w:val="Prrafodelista"/>
        <w:numPr>
          <w:ilvl w:val="0"/>
          <w:numId w:val="3"/>
        </w:numPr>
        <w:spacing w:line="360" w:lineRule="auto"/>
        <w:ind w:left="1800"/>
        <w:jc w:val="both"/>
      </w:pPr>
      <w:r>
        <w:t>Leer la tabla de contenido (si esta existiera) para entender de la</w:t>
      </w:r>
      <w:r w:rsidR="004B21DD">
        <w:t xml:space="preserve"> organización básica del libro.</w:t>
      </w:r>
    </w:p>
    <w:p w:rsidR="00D13CBE" w:rsidRDefault="00D13CBE" w:rsidP="00D13CBE">
      <w:pPr>
        <w:pStyle w:val="Prrafodelista"/>
        <w:numPr>
          <w:ilvl w:val="0"/>
          <w:numId w:val="3"/>
        </w:numPr>
        <w:spacing w:line="360" w:lineRule="auto"/>
        <w:ind w:left="1800"/>
        <w:jc w:val="both"/>
      </w:pPr>
      <w:r>
        <w:t>Conocer el género del libro o la obra para poder juzgar de acuerdo con este.</w:t>
      </w:r>
    </w:p>
    <w:p w:rsidR="00D13CBE" w:rsidRDefault="00D13CBE" w:rsidP="00D13CBE">
      <w:pPr>
        <w:pStyle w:val="Prrafodelista"/>
        <w:numPr>
          <w:ilvl w:val="0"/>
          <w:numId w:val="3"/>
        </w:numPr>
        <w:spacing w:line="360" w:lineRule="auto"/>
        <w:ind w:left="1800"/>
        <w:jc w:val="both"/>
      </w:pPr>
      <w:r>
        <w:t>Tener una copia personal del libro o del trabajo, si es posible, para poder hacer anotaciones según se va leyendo.</w:t>
      </w:r>
    </w:p>
    <w:p w:rsidR="00D13CBE" w:rsidRDefault="00D13CBE" w:rsidP="00D13CBE">
      <w:pPr>
        <w:pStyle w:val="Prrafodelista"/>
        <w:numPr>
          <w:ilvl w:val="0"/>
          <w:numId w:val="3"/>
        </w:numPr>
        <w:spacing w:line="360" w:lineRule="auto"/>
        <w:ind w:left="1800"/>
        <w:jc w:val="both"/>
      </w:pPr>
      <w:r>
        <w:t>Se el libro no es propio, mantener hojas del papel disponible para anotar las reacciones e insertarlas en el libro.</w:t>
      </w:r>
    </w:p>
    <w:p w:rsidR="00D13CBE" w:rsidRDefault="00D13CBE" w:rsidP="00D13CBE">
      <w:pPr>
        <w:pStyle w:val="Prrafodelista"/>
        <w:numPr>
          <w:ilvl w:val="0"/>
          <w:numId w:val="3"/>
        </w:numPr>
        <w:spacing w:line="360" w:lineRule="auto"/>
        <w:ind w:left="1800"/>
        <w:jc w:val="both"/>
      </w:pPr>
      <w:r>
        <w:t xml:space="preserve">Leer el libro en su totalidad para tener una impresión general. Sobre esta impresión inicial, hacer un bosquejo mental de </w:t>
      </w:r>
      <w:bookmarkStart w:id="0" w:name="_GoBack"/>
      <w:bookmarkEnd w:id="0"/>
      <w:r>
        <w:t>cómo se va a trabajar en la reseña.</w:t>
      </w:r>
    </w:p>
    <w:p w:rsidR="00D13CBE" w:rsidRDefault="00D13CBE" w:rsidP="00D13CBE">
      <w:pPr>
        <w:pStyle w:val="Prrafodelista"/>
        <w:numPr>
          <w:ilvl w:val="0"/>
          <w:numId w:val="3"/>
        </w:numPr>
        <w:spacing w:line="360" w:lineRule="auto"/>
        <w:ind w:left="1800"/>
        <w:jc w:val="both"/>
      </w:pPr>
      <w:r>
        <w:t>Leer el libro por segunda vez en esta ocasión para darle énfasis a aquellos detalles que pueden fortalecer la impresión inicial o modificarla.</w:t>
      </w:r>
      <w:sdt>
        <w:sdtPr>
          <w:id w:val="-515299936"/>
          <w:citation/>
        </w:sdtPr>
        <w:sdtEndPr/>
        <w:sdtContent>
          <w:r>
            <w:fldChar w:fldCharType="begin"/>
          </w:r>
          <w:r>
            <w:instrText xml:space="preserve">CITATION Eri12 \p 149 \l 2058 </w:instrText>
          </w:r>
          <w:r>
            <w:fldChar w:fldCharType="separate"/>
          </w:r>
          <w:r>
            <w:rPr>
              <w:noProof/>
            </w:rPr>
            <w:t xml:space="preserve"> (Muños, 2012, pág. 149)</w:t>
          </w:r>
          <w:r>
            <w:fldChar w:fldCharType="end"/>
          </w:r>
        </w:sdtContent>
      </w:sdt>
    </w:p>
    <w:p w:rsidR="00F44DBF" w:rsidRDefault="00F44DBF"/>
    <w:sectPr w:rsidR="00F44DBF" w:rsidSect="00C245E5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67BF9"/>
    <w:multiLevelType w:val="hybridMultilevel"/>
    <w:tmpl w:val="9EACDE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D4B1B"/>
    <w:multiLevelType w:val="hybridMultilevel"/>
    <w:tmpl w:val="363046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443F8"/>
    <w:multiLevelType w:val="hybridMultilevel"/>
    <w:tmpl w:val="7B2CD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DD"/>
    <w:rsid w:val="00223899"/>
    <w:rsid w:val="003A6E60"/>
    <w:rsid w:val="004B21DD"/>
    <w:rsid w:val="007C1970"/>
    <w:rsid w:val="007C23DD"/>
    <w:rsid w:val="00C245E5"/>
    <w:rsid w:val="00C629F6"/>
    <w:rsid w:val="00D13CBE"/>
    <w:rsid w:val="00F44DBF"/>
    <w:rsid w:val="00F9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C47B3"/>
  <w15:chartTrackingRefBased/>
  <w15:docId w15:val="{5BCC8910-4A64-42A4-8DEB-3E9B4E37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B21DD"/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4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Eri12</b:Tag>
    <b:SourceType>Book</b:SourceType>
    <b:Guid>{724C6E2D-8A15-4525-96D5-26752420BB74}</b:Guid>
    <b:Author>
      <b:Author>
        <b:NameList>
          <b:Person>
            <b:Last>Muños</b:Last>
            <b:First>Erica</b:First>
            <b:Middle>María Lara</b:Middle>
          </b:Person>
        </b:NameList>
      </b:Author>
    </b:Author>
    <b:Title>FUNDAMENTOS DE INVESTIGACIÓN</b:Title>
    <b:Year>2012</b:Year>
    <b:City>Mexico, D.F</b:City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1B91C8A6-D255-49A9-A3A6-37DE7760A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miguel agilar loeza</dc:creator>
  <cp:keywords/>
  <dc:description/>
  <cp:lastModifiedBy>jesus miguel agilar loeza</cp:lastModifiedBy>
  <cp:revision>4</cp:revision>
  <dcterms:created xsi:type="dcterms:W3CDTF">2016-10-27T08:46:00Z</dcterms:created>
  <dcterms:modified xsi:type="dcterms:W3CDTF">2016-10-27T22:01:00Z</dcterms:modified>
</cp:coreProperties>
</file>