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C3" w:rsidRPr="000262C3" w:rsidRDefault="000262C3" w:rsidP="000262C3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262C3">
        <w:rPr>
          <w:rFonts w:ascii="Arial" w:hAnsi="Arial" w:cs="Arial"/>
          <w:sz w:val="24"/>
          <w:szCs w:val="24"/>
        </w:rPr>
        <w:t xml:space="preserve">Reglas generales de acentuación </w:t>
      </w:r>
    </w:p>
    <w:p w:rsidR="000262C3" w:rsidRPr="000262C3" w:rsidRDefault="000262C3" w:rsidP="000262C3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0262C3">
        <w:rPr>
          <w:rFonts w:ascii="Arial" w:hAnsi="Arial" w:cs="Arial"/>
          <w:sz w:val="24"/>
          <w:szCs w:val="24"/>
        </w:rPr>
        <w:t>Llevan acento ortográfico, salvo excepciones:</w:t>
      </w:r>
    </w:p>
    <w:p w:rsidR="00382A45" w:rsidRDefault="000262C3" w:rsidP="000262C3">
      <w:pPr>
        <w:spacing w:line="360" w:lineRule="auto"/>
        <w:jc w:val="both"/>
      </w:pPr>
      <w:r w:rsidRPr="000262C3">
        <w:rPr>
          <w:rFonts w:ascii="Arial" w:hAnsi="Arial" w:cs="Arial"/>
          <w:sz w:val="24"/>
          <w:szCs w:val="24"/>
        </w:rPr>
        <w:t>Las palabras agudas que, tienen varias silabas, terminan en n, s o vocal (por ejemplo: mamá, corazón, inglés, anís, café, haré, comió, aquí). Las palabras monosílabas no se acentúan salvo excepciones. Las palabras graves que no terminen en n, s o vocal (árbol, fácil, láser, Víctor, automóvil, cáliz, carácter,). Pueden observar que esta regla es justo la contraria a la de las palabras agudas. Las  palabras esdrújulas y sobresdrújulas se acentúan casi todas (miércoles, sábado, autónomo, México, término, último, informática).las letras mayúsculas siempre que por las regl</w:t>
      </w:r>
      <w:bookmarkStart w:id="0" w:name="_GoBack"/>
      <w:bookmarkEnd w:id="0"/>
      <w:r w:rsidRPr="000262C3">
        <w:rPr>
          <w:rFonts w:ascii="Arial" w:hAnsi="Arial" w:cs="Arial"/>
          <w:sz w:val="24"/>
          <w:szCs w:val="24"/>
        </w:rPr>
        <w:t>as generales de acentuación les corresponda llevarlo (Álvaro, MÉXICO, AUTÓNOMA, ÉL, EDICIÓN, ÁNGEL)</w:t>
      </w:r>
      <w:sdt>
        <w:sdtPr>
          <w:rPr>
            <w:rFonts w:ascii="Arial" w:hAnsi="Arial" w:cs="Arial"/>
            <w:sz w:val="24"/>
            <w:szCs w:val="24"/>
          </w:rPr>
          <w:id w:val="1923679842"/>
          <w:citation/>
        </w:sdtPr>
        <w:sdtContent>
          <w:r w:rsidRPr="000262C3">
            <w:rPr>
              <w:rFonts w:ascii="Arial" w:hAnsi="Arial" w:cs="Arial"/>
              <w:sz w:val="24"/>
              <w:szCs w:val="24"/>
            </w:rPr>
            <w:fldChar w:fldCharType="begin"/>
          </w:r>
          <w:r w:rsidRPr="000262C3">
            <w:rPr>
              <w:rFonts w:ascii="Arial" w:hAnsi="Arial" w:cs="Arial"/>
              <w:sz w:val="24"/>
              <w:szCs w:val="24"/>
            </w:rPr>
            <w:instrText xml:space="preserve">CITATION Eri12 \p 112 \l 2058 </w:instrText>
          </w:r>
          <w:r w:rsidRPr="000262C3">
            <w:rPr>
              <w:rFonts w:ascii="Arial" w:hAnsi="Arial" w:cs="Arial"/>
              <w:sz w:val="24"/>
              <w:szCs w:val="24"/>
            </w:rPr>
            <w:fldChar w:fldCharType="separate"/>
          </w:r>
          <w:r w:rsidRPr="000262C3">
            <w:rPr>
              <w:rFonts w:ascii="Arial" w:hAnsi="Arial" w:cs="Arial"/>
              <w:noProof/>
              <w:sz w:val="24"/>
              <w:szCs w:val="24"/>
            </w:rPr>
            <w:t xml:space="preserve"> (Muñoz, 2012, pág. 112)</w:t>
          </w:r>
          <w:r w:rsidRPr="000262C3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3"/>
    <w:rsid w:val="000262C3"/>
    <w:rsid w:val="001844B6"/>
    <w:rsid w:val="003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C7B36-43DA-48E8-9A64-3033260B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DAC6B43C-3E99-4CC2-94F1-D680D14F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Company>Hewlett-Packard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2016-10-25T22:38:00Z</dcterms:created>
  <dcterms:modified xsi:type="dcterms:W3CDTF">2016-10-25T22:39:00Z</dcterms:modified>
</cp:coreProperties>
</file>