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C" w:rsidRPr="00FB58FC" w:rsidRDefault="00FB58FC" w:rsidP="00FB58FC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 w:rsidRPr="00FB58FC">
        <w:rPr>
          <w:rFonts w:ascii="Times New Roman" w:hAnsi="Times New Roman" w:cs="Times New Roman"/>
          <w:sz w:val="24"/>
          <w:szCs w:val="24"/>
        </w:rPr>
        <w:t>Axiomas de la comunicación</w:t>
      </w: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Los axiomas son cumplimiento indefectible, en otros términos, reflejan condiciones de hecho en la comunicación humana  que nunca se hallan ausentes.</w:t>
      </w: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 imposible no comunicarse. Todo acto humano, aun el silencio o la inmovilidad comunican un mensaje que debe ser descifrado.</w:t>
      </w: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comunicación tiene un nivel de contenido o referencial. La comunicación contiene y transmite información (nivel referencial) y además condiciona la relación de las personas.</w:t>
      </w: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puntuación del hecho determina la comunicación. Dependiendo de cómo y en qué momento percibe la persona la secuencia de hechos acaecidos.</w:t>
      </w: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FB58FC" w:rsidRDefault="00FB58FC" w:rsidP="00FB58FC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comunicación tiene contenido digital y otro analógico. Es el que transmite información referencial, en cambio el analógico contiene todas  las expresiones no verbales o metalingüísticas.</w:t>
      </w:r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1969D0"/>
    <w:rsid w:val="00501BA0"/>
    <w:rsid w:val="00717F54"/>
    <w:rsid w:val="00AD5B29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89B0149-DFF8-4B29-9FFF-86ACDF79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2</cp:revision>
  <dcterms:created xsi:type="dcterms:W3CDTF">2016-10-27T23:27:00Z</dcterms:created>
  <dcterms:modified xsi:type="dcterms:W3CDTF">2016-10-27T23:27:00Z</dcterms:modified>
</cp:coreProperties>
</file>