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9D0" w:rsidRPr="001969D0" w:rsidRDefault="001969D0" w:rsidP="001969D0">
      <w:pPr>
        <w:spacing w:before="30" w:after="0"/>
        <w:jc w:val="both"/>
        <w:rPr>
          <w:rFonts w:ascii="Times New Roman" w:hAnsi="Times New Roman" w:cs="Times New Roman"/>
          <w:sz w:val="24"/>
          <w:szCs w:val="24"/>
        </w:rPr>
      </w:pPr>
      <w:r w:rsidRPr="001969D0">
        <w:rPr>
          <w:rFonts w:ascii="Times New Roman" w:hAnsi="Times New Roman" w:cs="Times New Roman"/>
          <w:sz w:val="24"/>
          <w:szCs w:val="24"/>
        </w:rPr>
        <w:t>Consideraciones de la comunicación oral y escrita en la educación superior:</w:t>
      </w:r>
    </w:p>
    <w:p w:rsidR="001969D0" w:rsidRDefault="001969D0" w:rsidP="001969D0">
      <w:pPr>
        <w:pStyle w:val="Prrafodelista"/>
        <w:spacing w:before="30" w:after="0"/>
        <w:ind w:left="1417"/>
        <w:jc w:val="both"/>
        <w:rPr>
          <w:rFonts w:ascii="Times New Roman" w:hAnsi="Times New Roman" w:cs="Times New Roman"/>
          <w:sz w:val="24"/>
          <w:szCs w:val="24"/>
        </w:rPr>
      </w:pPr>
    </w:p>
    <w:p w:rsidR="001969D0" w:rsidRDefault="001969D0" w:rsidP="001969D0">
      <w:pPr>
        <w:pStyle w:val="Prrafodelista"/>
        <w:spacing w:before="30" w:after="0"/>
        <w:ind w:left="141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La capacidad para comunicarse oralmente y por escrito es una competencia crítica en la educación universitaria.</w:t>
      </w:r>
    </w:p>
    <w:p w:rsidR="001969D0" w:rsidRDefault="001969D0" w:rsidP="001969D0">
      <w:pPr>
        <w:pStyle w:val="Prrafodelista"/>
        <w:spacing w:before="30" w:after="0"/>
        <w:ind w:left="1417"/>
        <w:jc w:val="both"/>
        <w:rPr>
          <w:rFonts w:ascii="Times New Roman" w:hAnsi="Times New Roman" w:cs="Times New Roman"/>
          <w:sz w:val="24"/>
          <w:szCs w:val="24"/>
        </w:rPr>
      </w:pPr>
      <w:r>
        <w:rPr>
          <w:rFonts w:ascii="Times New Roman" w:hAnsi="Times New Roman" w:cs="Times New Roman"/>
          <w:sz w:val="24"/>
          <w:szCs w:val="24"/>
        </w:rPr>
        <w:t>Tienen por objetivo el saber-como más que el saber una condición básica para los demás aprendizajes.</w:t>
      </w:r>
    </w:p>
    <w:p w:rsidR="001969D0" w:rsidRDefault="001969D0" w:rsidP="001969D0">
      <w:pPr>
        <w:pStyle w:val="Prrafodelista"/>
        <w:spacing w:before="30" w:after="0"/>
        <w:ind w:left="1417"/>
        <w:jc w:val="both"/>
        <w:rPr>
          <w:rFonts w:ascii="Times New Roman" w:hAnsi="Times New Roman" w:cs="Times New Roman"/>
          <w:sz w:val="24"/>
          <w:szCs w:val="24"/>
        </w:rPr>
      </w:pPr>
    </w:p>
    <w:p w:rsidR="001969D0" w:rsidRDefault="001969D0" w:rsidP="001969D0">
      <w:pPr>
        <w:pStyle w:val="Prrafodelista"/>
        <w:spacing w:before="30" w:after="0"/>
        <w:ind w:left="1417"/>
        <w:jc w:val="both"/>
        <w:rPr>
          <w:rFonts w:ascii="Times New Roman" w:hAnsi="Times New Roman" w:cs="Times New Roman"/>
          <w:sz w:val="24"/>
          <w:szCs w:val="24"/>
        </w:rPr>
      </w:pPr>
      <w:r>
        <w:rPr>
          <w:rFonts w:ascii="Times New Roman" w:hAnsi="Times New Roman" w:cs="Times New Roman"/>
          <w:sz w:val="24"/>
          <w:szCs w:val="24"/>
        </w:rPr>
        <w:t>*Los lenguajes orales y escritos son instrumentos esenciales para el aprendizaje y una condición para el desarrollo de otras competencias en la universidad</w:t>
      </w:r>
    </w:p>
    <w:p w:rsidR="001969D0" w:rsidRDefault="001969D0" w:rsidP="001969D0">
      <w:pPr>
        <w:pStyle w:val="Prrafodelista"/>
        <w:spacing w:before="30" w:after="0"/>
        <w:ind w:left="1417"/>
        <w:jc w:val="both"/>
        <w:rPr>
          <w:rFonts w:ascii="Times New Roman" w:hAnsi="Times New Roman" w:cs="Times New Roman"/>
          <w:sz w:val="24"/>
          <w:szCs w:val="24"/>
        </w:rPr>
      </w:pPr>
    </w:p>
    <w:p w:rsidR="001969D0" w:rsidRDefault="001969D0" w:rsidP="001969D0">
      <w:pPr>
        <w:pStyle w:val="Prrafodelista"/>
        <w:spacing w:before="30" w:after="0"/>
        <w:ind w:left="1417"/>
        <w:jc w:val="both"/>
        <w:rPr>
          <w:rFonts w:ascii="Times New Roman" w:hAnsi="Times New Roman" w:cs="Times New Roman"/>
          <w:sz w:val="24"/>
          <w:szCs w:val="24"/>
        </w:rPr>
      </w:pPr>
      <w:r>
        <w:rPr>
          <w:rFonts w:ascii="Times New Roman" w:hAnsi="Times New Roman" w:cs="Times New Roman"/>
          <w:sz w:val="24"/>
          <w:szCs w:val="24"/>
        </w:rPr>
        <w:t>*La formación de la competencia para leer, escribir y expresarle oralmente debe de ser uno de los propósitos centrales de la formación universitaria en  el pregrado.</w:t>
      </w:r>
    </w:p>
    <w:p w:rsidR="001969D0" w:rsidRDefault="001969D0" w:rsidP="001969D0">
      <w:pPr>
        <w:pStyle w:val="Prrafodelista"/>
        <w:spacing w:before="30" w:after="0"/>
        <w:ind w:left="1417"/>
        <w:jc w:val="both"/>
        <w:rPr>
          <w:rFonts w:ascii="Times New Roman" w:hAnsi="Times New Roman" w:cs="Times New Roman"/>
          <w:sz w:val="24"/>
          <w:szCs w:val="24"/>
        </w:rPr>
      </w:pPr>
    </w:p>
    <w:p w:rsidR="001969D0" w:rsidRDefault="001969D0" w:rsidP="001969D0">
      <w:pPr>
        <w:pStyle w:val="Prrafodelista"/>
        <w:spacing w:before="30" w:after="0"/>
        <w:ind w:left="1417"/>
        <w:jc w:val="both"/>
        <w:rPr>
          <w:rFonts w:ascii="Times New Roman" w:hAnsi="Times New Roman" w:cs="Times New Roman"/>
          <w:sz w:val="24"/>
          <w:szCs w:val="24"/>
        </w:rPr>
      </w:pPr>
      <w:r>
        <w:rPr>
          <w:rFonts w:ascii="Times New Roman" w:hAnsi="Times New Roman" w:cs="Times New Roman"/>
          <w:sz w:val="24"/>
          <w:szCs w:val="24"/>
        </w:rPr>
        <w:t xml:space="preserve">*La lectura, la escritura y la expresión oral no son habilidades genéricas, que puedan aplicarse indistintamente en cualquier situación comunicativa, sino modos discursivos  que no pueden entenderse separados de las </w:t>
      </w:r>
      <w:proofErr w:type="gramStart"/>
      <w:r>
        <w:rPr>
          <w:rFonts w:ascii="Times New Roman" w:hAnsi="Times New Roman" w:cs="Times New Roman"/>
          <w:sz w:val="24"/>
          <w:szCs w:val="24"/>
        </w:rPr>
        <w:t>practicas</w:t>
      </w:r>
      <w:proofErr w:type="gramEnd"/>
      <w:r>
        <w:rPr>
          <w:rFonts w:ascii="Times New Roman" w:hAnsi="Times New Roman" w:cs="Times New Roman"/>
          <w:sz w:val="24"/>
          <w:szCs w:val="24"/>
        </w:rPr>
        <w:t xml:space="preserve"> fundamentales ni de la pedagogía de cada disciplina.</w:t>
      </w:r>
    </w:p>
    <w:p w:rsidR="001969D0" w:rsidRDefault="001969D0" w:rsidP="001969D0">
      <w:pPr>
        <w:pStyle w:val="Prrafodelista"/>
        <w:spacing w:before="30" w:after="0"/>
        <w:ind w:left="1417"/>
        <w:jc w:val="both"/>
        <w:rPr>
          <w:rFonts w:ascii="Times New Roman" w:hAnsi="Times New Roman" w:cs="Times New Roman"/>
          <w:sz w:val="24"/>
          <w:szCs w:val="24"/>
        </w:rPr>
      </w:pPr>
    </w:p>
    <w:p w:rsidR="001969D0" w:rsidRDefault="001969D0" w:rsidP="001969D0">
      <w:pPr>
        <w:pStyle w:val="Prrafodelista"/>
        <w:spacing w:before="30" w:after="0"/>
        <w:ind w:left="1417"/>
        <w:jc w:val="both"/>
        <w:rPr>
          <w:rFonts w:ascii="Times New Roman" w:hAnsi="Times New Roman" w:cs="Times New Roman"/>
          <w:sz w:val="24"/>
          <w:szCs w:val="24"/>
        </w:rPr>
      </w:pPr>
      <w:r>
        <w:rPr>
          <w:rFonts w:ascii="Times New Roman" w:hAnsi="Times New Roman" w:cs="Times New Roman"/>
          <w:sz w:val="24"/>
          <w:szCs w:val="24"/>
        </w:rPr>
        <w:t xml:space="preserve">*En consecuencia, la formación de la competencia oral y escrita en la universidad debe de asumirse, no como una actividad colateral independiente de las disciplinas del conocimiento, sino como un componente constitutivo de estructura gramatical o los mecanismos que explican su funcionamiento </w:t>
      </w:r>
    </w:p>
    <w:p w:rsidR="001969D0" w:rsidRDefault="001969D0" w:rsidP="001969D0">
      <w:pPr>
        <w:pStyle w:val="Prrafodelista"/>
        <w:spacing w:before="30" w:after="0"/>
        <w:ind w:left="1417"/>
        <w:jc w:val="both"/>
        <w:rPr>
          <w:rFonts w:ascii="Times New Roman" w:hAnsi="Times New Roman" w:cs="Times New Roman"/>
          <w:sz w:val="24"/>
          <w:szCs w:val="24"/>
        </w:rPr>
      </w:pPr>
    </w:p>
    <w:p w:rsidR="001969D0" w:rsidRDefault="001969D0" w:rsidP="001969D0">
      <w:pPr>
        <w:pStyle w:val="Prrafodelista"/>
        <w:spacing w:before="30" w:after="0"/>
        <w:ind w:left="1417"/>
        <w:jc w:val="both"/>
        <w:rPr>
          <w:rFonts w:ascii="Times New Roman" w:hAnsi="Times New Roman" w:cs="Times New Roman"/>
          <w:sz w:val="24"/>
          <w:szCs w:val="24"/>
        </w:rPr>
      </w:pPr>
      <w:r>
        <w:rPr>
          <w:rFonts w:ascii="Times New Roman" w:hAnsi="Times New Roman" w:cs="Times New Roman"/>
          <w:sz w:val="24"/>
          <w:szCs w:val="24"/>
        </w:rPr>
        <w:t>*Aunque la cultura universitaria privilegiada el discurso académico sobre otras normas discursivas, la información de la competencia comunicativa en los ciclos básicos también debe contribuir a ampliar la capital cultural de los estudiantes, mediante la lectura de las grandes obras del pensamiento y el contacto con otro tipo de géneros, prácticas sexuales y formas de hablar o escribir.</w:t>
      </w:r>
    </w:p>
    <w:p w:rsidR="001969D0" w:rsidRDefault="001969D0" w:rsidP="001969D0">
      <w:pPr>
        <w:pStyle w:val="Prrafodelista"/>
        <w:spacing w:before="30" w:after="0"/>
        <w:ind w:left="1417"/>
        <w:jc w:val="both"/>
        <w:rPr>
          <w:rFonts w:ascii="Times New Roman" w:hAnsi="Times New Roman" w:cs="Times New Roman"/>
          <w:sz w:val="24"/>
          <w:szCs w:val="24"/>
        </w:rPr>
      </w:pPr>
    </w:p>
    <w:p w:rsidR="001969D0" w:rsidRPr="00427478" w:rsidRDefault="001969D0" w:rsidP="001969D0">
      <w:pPr>
        <w:pStyle w:val="Prrafodelista"/>
        <w:spacing w:before="30" w:after="0"/>
        <w:ind w:left="1417"/>
        <w:jc w:val="both"/>
        <w:rPr>
          <w:rFonts w:ascii="Times New Roman" w:hAnsi="Times New Roman" w:cs="Times New Roman"/>
          <w:sz w:val="24"/>
          <w:szCs w:val="24"/>
        </w:rPr>
      </w:pPr>
      <w:r>
        <w:rPr>
          <w:rFonts w:ascii="Times New Roman" w:hAnsi="Times New Roman" w:cs="Times New Roman"/>
          <w:sz w:val="24"/>
          <w:szCs w:val="24"/>
        </w:rPr>
        <w:t xml:space="preserve">*los lenguajes oral y escritos no constituyen un código independiente de otros sistemas de representación, por el contrario, son solo  un componente más del variado repertorio de herramientas simbólicas que median los distintos modos de actuar de los seres vivos.                                                                                                                                                                                                                                                                                                                                                                                                                                                                                                                                                                                                                                                                                                                                                                                                                                                                                                                                                                                                                                                                                                                                                                                                                                                                                                                                                                                                                                                                                                                                                                                                                                                                                                                                                                                                                                                                                                                                                                                                                                                                                                                                                                                                                                                                                                                                                                                                                                                                                                                                          </w:t>
      </w:r>
    </w:p>
    <w:p w:rsidR="00717F54" w:rsidRDefault="00717F54"/>
    <w:sectPr w:rsidR="00717F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71B6"/>
    <w:multiLevelType w:val="multilevel"/>
    <w:tmpl w:val="F00ED948"/>
    <w:lvl w:ilvl="0">
      <w:start w:val="1"/>
      <w:numFmt w:val="decimal"/>
      <w:lvlText w:val="%1."/>
      <w:lvlJc w:val="left"/>
      <w:pPr>
        <w:ind w:left="2137" w:hanging="360"/>
      </w:pPr>
    </w:lvl>
    <w:lvl w:ilvl="1">
      <w:start w:val="1"/>
      <w:numFmt w:val="decimal"/>
      <w:isLgl/>
      <w:lvlText w:val="%1.%2"/>
      <w:lvlJc w:val="left"/>
      <w:pPr>
        <w:ind w:left="2497" w:hanging="360"/>
      </w:pPr>
      <w:rPr>
        <w:rFonts w:hint="default"/>
      </w:rPr>
    </w:lvl>
    <w:lvl w:ilvl="2">
      <w:start w:val="1"/>
      <w:numFmt w:val="decimal"/>
      <w:isLgl/>
      <w:lvlText w:val="%1.%2.%3"/>
      <w:lvlJc w:val="left"/>
      <w:pPr>
        <w:ind w:left="3217" w:hanging="720"/>
      </w:pPr>
      <w:rPr>
        <w:rFonts w:hint="default"/>
      </w:rPr>
    </w:lvl>
    <w:lvl w:ilvl="3">
      <w:start w:val="1"/>
      <w:numFmt w:val="decimal"/>
      <w:isLgl/>
      <w:lvlText w:val="%1.%2.%3.%4"/>
      <w:lvlJc w:val="left"/>
      <w:pPr>
        <w:ind w:left="3577" w:hanging="720"/>
      </w:pPr>
      <w:rPr>
        <w:rFonts w:hint="default"/>
      </w:rPr>
    </w:lvl>
    <w:lvl w:ilvl="4">
      <w:start w:val="1"/>
      <w:numFmt w:val="decimal"/>
      <w:isLgl/>
      <w:lvlText w:val="%1.%2.%3.%4.%5"/>
      <w:lvlJc w:val="left"/>
      <w:pPr>
        <w:ind w:left="4297" w:hanging="1080"/>
      </w:pPr>
      <w:rPr>
        <w:rFonts w:hint="default"/>
      </w:rPr>
    </w:lvl>
    <w:lvl w:ilvl="5">
      <w:start w:val="1"/>
      <w:numFmt w:val="decimal"/>
      <w:isLgl/>
      <w:lvlText w:val="%1.%2.%3.%4.%5.%6"/>
      <w:lvlJc w:val="left"/>
      <w:pPr>
        <w:ind w:left="4657" w:hanging="1080"/>
      </w:pPr>
      <w:rPr>
        <w:rFonts w:hint="default"/>
      </w:rPr>
    </w:lvl>
    <w:lvl w:ilvl="6">
      <w:start w:val="1"/>
      <w:numFmt w:val="decimal"/>
      <w:isLgl/>
      <w:lvlText w:val="%1.%2.%3.%4.%5.%6.%7"/>
      <w:lvlJc w:val="left"/>
      <w:pPr>
        <w:ind w:left="5377" w:hanging="1440"/>
      </w:pPr>
      <w:rPr>
        <w:rFonts w:hint="default"/>
      </w:rPr>
    </w:lvl>
    <w:lvl w:ilvl="7">
      <w:start w:val="1"/>
      <w:numFmt w:val="decimal"/>
      <w:isLgl/>
      <w:lvlText w:val="%1.%2.%3.%4.%5.%6.%7.%8"/>
      <w:lvlJc w:val="left"/>
      <w:pPr>
        <w:ind w:left="5737" w:hanging="1440"/>
      </w:pPr>
      <w:rPr>
        <w:rFonts w:hint="default"/>
      </w:rPr>
    </w:lvl>
    <w:lvl w:ilvl="8">
      <w:start w:val="1"/>
      <w:numFmt w:val="decimal"/>
      <w:isLgl/>
      <w:lvlText w:val="%1.%2.%3.%4.%5.%6.%7.%8.%9"/>
      <w:lvlJc w:val="left"/>
      <w:pPr>
        <w:ind w:left="645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29"/>
    <w:rsid w:val="001969D0"/>
    <w:rsid w:val="00717F54"/>
    <w:rsid w:val="00AD5B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5B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5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3628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xBENITOx</dc:creator>
  <cp:lastModifiedBy>xBENITOx</cp:lastModifiedBy>
  <cp:revision>2</cp:revision>
  <dcterms:created xsi:type="dcterms:W3CDTF">2016-10-27T23:25:00Z</dcterms:created>
  <dcterms:modified xsi:type="dcterms:W3CDTF">2016-10-27T23:25:00Z</dcterms:modified>
</cp:coreProperties>
</file>