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60" w:rsidRDefault="003A6E60" w:rsidP="003A6E60">
      <w:pPr>
        <w:spacing w:line="360" w:lineRule="auto"/>
        <w:jc w:val="both"/>
      </w:pPr>
      <w:r>
        <w:t>Sus características, por tanto, suelen ser las siguientes:</w:t>
      </w:r>
    </w:p>
    <w:p w:rsidR="003A6E60" w:rsidRDefault="003A6E60" w:rsidP="00F21805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bookmarkStart w:id="0" w:name="_GoBack"/>
      <w:r>
        <w:t>Pertenece a los géneros de opinión.</w:t>
      </w:r>
    </w:p>
    <w:p w:rsidR="003A6E60" w:rsidRDefault="003A6E60" w:rsidP="00F21805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Se organiza siguiendo una estructura argumentativa.</w:t>
      </w:r>
    </w:p>
    <w:p w:rsidR="003A6E60" w:rsidRDefault="003A6E60" w:rsidP="00F21805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Comienza con la definición del objeto a tratar. Continua con la toma de posición (que justifica ya sea contrastando con diversos argumentos o a través de opiniones personales). Y cierra reafirmando la posición adoptada.</w:t>
      </w:r>
    </w:p>
    <w:p w:rsidR="003A6E60" w:rsidRDefault="003A6E60" w:rsidP="00F21805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Es un escrito breve que intenta dar una visión panorámico y, a la vez, critica, sobre algo.</w:t>
      </w:r>
    </w:p>
    <w:p w:rsidR="003A6E60" w:rsidRDefault="003A6E60" w:rsidP="00F21805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Una buena reseña, necesariamente, refleja la interpretación y evaluación critica de quien la realiza.</w:t>
      </w:r>
    </w:p>
    <w:p w:rsidR="003A6E60" w:rsidRDefault="003A6E60" w:rsidP="00F21805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Describe un tema, texto, suceso o evento y ofrece una opinión sobre su valor.</w:t>
      </w:r>
    </w:p>
    <w:p w:rsidR="003A6E60" w:rsidRDefault="003A6E60" w:rsidP="00F21805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Extrae lo esencial del contenido.</w:t>
      </w:r>
    </w:p>
    <w:p w:rsidR="003A6E60" w:rsidRDefault="003A6E60" w:rsidP="00F21805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Necesita un proceso de composición.</w:t>
      </w:r>
      <w:sdt>
        <w:sdtPr>
          <w:id w:val="-1646349030"/>
          <w:citation/>
        </w:sdtPr>
        <w:sdtEndPr/>
        <w:sdtContent>
          <w:r w:rsidR="000D2AAC">
            <w:fldChar w:fldCharType="begin"/>
          </w:r>
          <w:r w:rsidR="000D2AAC">
            <w:instrText xml:space="preserve">CITATION Eri12 \p 149 \l 2058 </w:instrText>
          </w:r>
          <w:r w:rsidR="000D2AAC">
            <w:fldChar w:fldCharType="separate"/>
          </w:r>
          <w:r w:rsidR="000D2AAC">
            <w:rPr>
              <w:noProof/>
            </w:rPr>
            <w:t xml:space="preserve"> (Muños, 2012, pág. 149)</w:t>
          </w:r>
          <w:r w:rsidR="000D2AAC">
            <w:fldChar w:fldCharType="end"/>
          </w:r>
        </w:sdtContent>
      </w:sdt>
    </w:p>
    <w:bookmarkEnd w:id="0"/>
    <w:p w:rsidR="00F44DBF" w:rsidRDefault="00F44DBF" w:rsidP="003A6E60">
      <w:pPr>
        <w:ind w:left="1440"/>
      </w:pPr>
    </w:p>
    <w:sectPr w:rsidR="00F44DBF" w:rsidSect="00C245E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B1B"/>
    <w:multiLevelType w:val="hybridMultilevel"/>
    <w:tmpl w:val="3630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443F8"/>
    <w:multiLevelType w:val="hybridMultilevel"/>
    <w:tmpl w:val="7B2CD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D"/>
    <w:rsid w:val="000D2AAC"/>
    <w:rsid w:val="00223899"/>
    <w:rsid w:val="003A6E60"/>
    <w:rsid w:val="007C1970"/>
    <w:rsid w:val="007C23DD"/>
    <w:rsid w:val="00C245E5"/>
    <w:rsid w:val="00C629F6"/>
    <w:rsid w:val="00F21805"/>
    <w:rsid w:val="00F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8910-4A64-42A4-8DEB-3E9B4E3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45E5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{724C6E2D-8A15-4525-96D5-26752420BB74}</b:Guid>
    <b:Author>
      <b:Author>
        <b:NameList>
          <b:Person>
            <b:Last>Muños</b:Last>
            <b:First>Erica</b:First>
            <b:Middle>María Lara</b:Middle>
          </b:Person>
        </b:NameList>
      </b:Author>
    </b:Author>
    <b:Title>FUNDAMENTOS DE INVESTIGACIÓN</b:Title>
    <b:Year>2012</b:Year>
    <b:City>Mexico, D.F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54457FC7-F606-497B-A642-0C5F62E3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miguel agilar loeza</dc:creator>
  <cp:keywords/>
  <dc:description/>
  <cp:lastModifiedBy>jesus miguel agilar loeza</cp:lastModifiedBy>
  <cp:revision>5</cp:revision>
  <dcterms:created xsi:type="dcterms:W3CDTF">2016-10-27T08:44:00Z</dcterms:created>
  <dcterms:modified xsi:type="dcterms:W3CDTF">2016-10-28T06:24:00Z</dcterms:modified>
</cp:coreProperties>
</file>