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D0" w:rsidRDefault="00A417D0" w:rsidP="00A417D0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Verbos con objeto indirecto como sufijo</w:t>
      </w:r>
    </w:p>
    <w:p w:rsidR="00A417D0" w:rsidRDefault="00A417D0" w:rsidP="00A417D0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“Solo se utilizan en el lenguaje literario. Con pronombres separados (estilo actual): le llamo y le regalo. Con pronombre como sufijo (estilo antiguo): </w:t>
      </w:r>
      <w:proofErr w:type="spellStart"/>
      <w:r>
        <w:rPr>
          <w:rFonts w:ascii="Arial" w:hAnsi="Arial" w:cs="Arial"/>
          <w:sz w:val="24"/>
          <w:szCs w:val="24"/>
        </w:rPr>
        <w:t>llamóle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regál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ole</w:t>
      </w:r>
      <w:proofErr w:type="spellEnd"/>
      <w:r>
        <w:rPr>
          <w:rFonts w:ascii="Arial" w:hAnsi="Arial" w:cs="Arial"/>
          <w:sz w:val="24"/>
          <w:szCs w:val="24"/>
        </w:rPr>
        <w:t xml:space="preserve">. Obsérvese que, aunque las palabras son graves, llevan acento. La razón está en que el verbo original llevaba acento”.   </w:t>
      </w:r>
      <w:sdt>
        <w:sdtPr>
          <w:rPr>
            <w:rFonts w:ascii="Arial" w:hAnsi="Arial" w:cs="Arial"/>
            <w:sz w:val="24"/>
            <w:szCs w:val="24"/>
          </w:rPr>
          <w:id w:val="692962229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116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B00CC1">
            <w:rPr>
              <w:rFonts w:ascii="Arial" w:hAnsi="Arial" w:cs="Arial"/>
              <w:noProof/>
              <w:sz w:val="24"/>
              <w:szCs w:val="24"/>
            </w:rPr>
            <w:t>(Muñoz, 2012, pág. 116)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/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D0"/>
    <w:rsid w:val="001844B6"/>
    <w:rsid w:val="00382A45"/>
    <w:rsid w:val="00A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CE213-A7CC-4986-9B1B-FBF57746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899A14B9-68C1-430F-91F4-B501F1B2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Company>Hewlett-Packard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2016-10-25T22:42:00Z</dcterms:created>
  <dcterms:modified xsi:type="dcterms:W3CDTF">2016-10-25T22:42:00Z</dcterms:modified>
</cp:coreProperties>
</file>