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18" w:rsidRPr="00534751" w:rsidRDefault="00636418" w:rsidP="00636418">
      <w:pPr>
        <w:jc w:val="both"/>
        <w:rPr>
          <w:rFonts w:ascii="Arial" w:hAnsi="Arial" w:cs="Arial"/>
          <w:sz w:val="28"/>
        </w:rPr>
      </w:pPr>
      <w:r w:rsidRPr="00534751">
        <w:rPr>
          <w:rFonts w:ascii="Arial" w:hAnsi="Arial" w:cs="Arial"/>
          <w:sz w:val="28"/>
        </w:rPr>
        <w:t>HIPÓTESIS DE CORRELACIÓN.</w:t>
      </w:r>
    </w:p>
    <w:p w:rsidR="00636418" w:rsidRPr="00305E92" w:rsidRDefault="00636418" w:rsidP="00934DEF">
      <w:pPr>
        <w:spacing w:line="480" w:lineRule="auto"/>
        <w:ind w:left="1418"/>
        <w:jc w:val="both"/>
        <w:rPr>
          <w:rFonts w:ascii="Arial" w:hAnsi="Arial" w:cs="Arial"/>
          <w:sz w:val="24"/>
        </w:rPr>
      </w:pPr>
      <w:bookmarkStart w:id="0" w:name="_GoBack"/>
      <w:r w:rsidRPr="00305E92">
        <w:rPr>
          <w:rFonts w:ascii="Arial" w:hAnsi="Arial" w:cs="Arial"/>
          <w:sz w:val="24"/>
        </w:rPr>
        <w:t>Especifica las relaciones entre dos o más variables y corresponden a los estudios correlaciónales, Sin embargo, las hipótesis correlaciónales no sólo pueden establecer que dos o más variables se encuentran vinculadas, sino también cómo están asociadas. Alcanzan el nivel predic</w:t>
      </w:r>
      <w:r>
        <w:rPr>
          <w:rFonts w:ascii="Arial" w:hAnsi="Arial" w:cs="Arial"/>
          <w:sz w:val="24"/>
        </w:rPr>
        <w:t>tivo y parcialmente explicativo</w:t>
      </w:r>
      <w:r w:rsidRPr="00305E92">
        <w:rPr>
          <w:rFonts w:ascii="Arial" w:hAnsi="Arial" w:cs="Arial"/>
          <w:sz w:val="24"/>
        </w:rPr>
        <w:t>.</w:t>
      </w:r>
    </w:p>
    <w:bookmarkEnd w:id="0"/>
    <w:p w:rsidR="00BE6BF0" w:rsidRDefault="00636418" w:rsidP="00636418"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{"citationID":"8fr04En3","properties":{"formattedCitation":"{\\rtf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="00F762CE">
        <w:rPr>
          <w:rFonts w:ascii="Arial" w:hAnsi="Arial" w:cs="Arial"/>
          <w:sz w:val="24"/>
          <w:szCs w:val="24"/>
        </w:rPr>
        <w:t xml:space="preserve">(Hernández </w:t>
      </w:r>
      <w:r w:rsidRPr="00FB0A93">
        <w:rPr>
          <w:rFonts w:ascii="Arial" w:hAnsi="Arial" w:cs="Arial"/>
          <w:sz w:val="24"/>
          <w:szCs w:val="24"/>
        </w:rPr>
        <w:t xml:space="preserve"> et al., 2014</w:t>
      </w:r>
      <w:r>
        <w:rPr>
          <w:rFonts w:ascii="Arial" w:hAnsi="Arial" w:cs="Arial"/>
          <w:sz w:val="24"/>
          <w:szCs w:val="24"/>
        </w:rPr>
        <w:t>, pág. 97</w:t>
      </w:r>
      <w:r w:rsidRPr="00FB0A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</w:p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18"/>
    <w:rsid w:val="00636418"/>
    <w:rsid w:val="00934DEF"/>
    <w:rsid w:val="00BE6BF0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62ACA-3D28-4659-B6C6-E8BCB20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3</cp:revision>
  <dcterms:created xsi:type="dcterms:W3CDTF">2017-02-28T13:47:00Z</dcterms:created>
  <dcterms:modified xsi:type="dcterms:W3CDTF">2017-03-02T02:43:00Z</dcterms:modified>
</cp:coreProperties>
</file>