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7B" w:rsidRDefault="00A5067B" w:rsidP="00A5067B">
      <w:pPr>
        <w:jc w:val="center"/>
      </w:pPr>
      <w:bookmarkStart w:id="0" w:name="_GoBack"/>
      <w:bookmarkEnd w:id="0"/>
    </w:p>
    <w:p w:rsidR="006A6E89" w:rsidRPr="00C179CE" w:rsidRDefault="00A5067B" w:rsidP="00A5067B">
      <w:pPr>
        <w:spacing w:line="240" w:lineRule="auto"/>
        <w:jc w:val="center"/>
        <w:rPr>
          <w:rFonts w:ascii="Times New Roman" w:hAnsi="Times New Roman" w:cs="Times New Roman"/>
          <w:b/>
          <w:vertAlign w:val="baseline"/>
        </w:rPr>
      </w:pPr>
      <w:r w:rsidRPr="00C179CE">
        <w:rPr>
          <w:rFonts w:ascii="Times New Roman" w:hAnsi="Times New Roman" w:cs="Times New Roman"/>
          <w:b/>
          <w:vertAlign w:val="baseline"/>
        </w:rPr>
        <w:t>ATENCION INTEGRAL PARA LA PRIMERA INFANCIA</w:t>
      </w:r>
    </w:p>
    <w:p w:rsidR="00A5067B" w:rsidRPr="00C179CE" w:rsidRDefault="00A5067B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</w:p>
    <w:p w:rsidR="00A5067B" w:rsidRPr="00C179CE" w:rsidRDefault="00A5067B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</w:p>
    <w:p w:rsidR="00A5067B" w:rsidRPr="00C179CE" w:rsidRDefault="00A5067B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</w:p>
    <w:p w:rsidR="00A5067B" w:rsidRPr="00C179CE" w:rsidRDefault="00A5067B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</w:p>
    <w:p w:rsidR="00A5067B" w:rsidRPr="00C179CE" w:rsidRDefault="00A5067B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  <w:r w:rsidRPr="00C179CE">
        <w:rPr>
          <w:rFonts w:ascii="Times New Roman" w:hAnsi="Times New Roman" w:cs="Times New Roman"/>
          <w:vertAlign w:val="baseline"/>
        </w:rPr>
        <w:t>Rosmira Pereira Osorio</w:t>
      </w:r>
    </w:p>
    <w:p w:rsidR="00A5067B" w:rsidRPr="00C179CE" w:rsidRDefault="00A5067B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  <w:r w:rsidRPr="00C179CE">
        <w:rPr>
          <w:rFonts w:ascii="Times New Roman" w:hAnsi="Times New Roman" w:cs="Times New Roman"/>
          <w:vertAlign w:val="baseline"/>
        </w:rPr>
        <w:t>ID: 609892</w:t>
      </w:r>
    </w:p>
    <w:p w:rsidR="00A5067B" w:rsidRPr="00C179CE" w:rsidRDefault="00A5067B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</w:p>
    <w:p w:rsidR="00A5067B" w:rsidRPr="00C179CE" w:rsidRDefault="00A5067B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</w:p>
    <w:p w:rsidR="00A5067B" w:rsidRPr="00C179CE" w:rsidRDefault="00A5067B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</w:p>
    <w:p w:rsidR="00A5067B" w:rsidRPr="00C179CE" w:rsidRDefault="00A5067B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</w:p>
    <w:p w:rsidR="00A5067B" w:rsidRPr="00C179CE" w:rsidRDefault="00A5067B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</w:p>
    <w:p w:rsidR="00A5067B" w:rsidRPr="00C179CE" w:rsidRDefault="00A5067B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  <w:r w:rsidRPr="00C179CE">
        <w:rPr>
          <w:rFonts w:ascii="Times New Roman" w:hAnsi="Times New Roman" w:cs="Times New Roman"/>
          <w:vertAlign w:val="baseline"/>
        </w:rPr>
        <w:t>Carlos Fernando Villamizar Niño</w:t>
      </w:r>
    </w:p>
    <w:p w:rsidR="00A5067B" w:rsidRPr="00C179CE" w:rsidRDefault="00A5067B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  <w:r w:rsidRPr="00C179CE">
        <w:rPr>
          <w:rFonts w:ascii="Times New Roman" w:hAnsi="Times New Roman" w:cs="Times New Roman"/>
          <w:vertAlign w:val="baseline"/>
        </w:rPr>
        <w:t>Tutor</w:t>
      </w:r>
    </w:p>
    <w:p w:rsidR="00A5067B" w:rsidRPr="00C179CE" w:rsidRDefault="00A5067B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  <w:r w:rsidRPr="00C179CE">
        <w:rPr>
          <w:rFonts w:ascii="Times New Roman" w:hAnsi="Times New Roman" w:cs="Times New Roman"/>
          <w:vertAlign w:val="baseline"/>
        </w:rPr>
        <w:t>Gestión Básica de la Información</w:t>
      </w:r>
    </w:p>
    <w:p w:rsidR="00A5067B" w:rsidRPr="00C179CE" w:rsidRDefault="00A5067B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</w:p>
    <w:p w:rsidR="00C179CE" w:rsidRPr="00C179CE" w:rsidRDefault="00C179CE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</w:p>
    <w:p w:rsidR="00A5067B" w:rsidRPr="00C179CE" w:rsidRDefault="00A5067B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</w:p>
    <w:p w:rsidR="00A5067B" w:rsidRPr="00C179CE" w:rsidRDefault="00C179CE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  <w:r w:rsidRPr="00C179CE">
        <w:rPr>
          <w:rFonts w:ascii="Times New Roman" w:hAnsi="Times New Roman" w:cs="Times New Roman"/>
          <w:vertAlign w:val="baseline"/>
        </w:rPr>
        <w:t>Corporación</w:t>
      </w:r>
      <w:r w:rsidR="00A5067B" w:rsidRPr="00C179CE">
        <w:rPr>
          <w:rFonts w:ascii="Times New Roman" w:hAnsi="Times New Roman" w:cs="Times New Roman"/>
          <w:vertAlign w:val="baseline"/>
        </w:rPr>
        <w:t xml:space="preserve"> Universitaria Minuto de Dios</w:t>
      </w:r>
    </w:p>
    <w:p w:rsidR="00C179CE" w:rsidRPr="00C179CE" w:rsidRDefault="00C179CE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  <w:r w:rsidRPr="00C179CE">
        <w:rPr>
          <w:rFonts w:ascii="Times New Roman" w:hAnsi="Times New Roman" w:cs="Times New Roman"/>
          <w:vertAlign w:val="baseline"/>
        </w:rPr>
        <w:t>Licenciatura en Pedagogía Infantil</w:t>
      </w:r>
    </w:p>
    <w:p w:rsidR="00C179CE" w:rsidRPr="00C179CE" w:rsidRDefault="00C179CE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</w:p>
    <w:p w:rsidR="00C179CE" w:rsidRPr="00C179CE" w:rsidRDefault="00C179CE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</w:p>
    <w:p w:rsidR="00C179CE" w:rsidRPr="00C179CE" w:rsidRDefault="00C179CE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</w:p>
    <w:p w:rsidR="00C179CE" w:rsidRPr="00C179CE" w:rsidRDefault="00C179CE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  <w:r w:rsidRPr="00C179CE">
        <w:rPr>
          <w:rFonts w:ascii="Times New Roman" w:hAnsi="Times New Roman" w:cs="Times New Roman"/>
          <w:vertAlign w:val="baseline"/>
        </w:rPr>
        <w:t xml:space="preserve">Bucaramanga, Marzo </w:t>
      </w:r>
    </w:p>
    <w:p w:rsidR="00C179CE" w:rsidRPr="00C179CE" w:rsidRDefault="00C179CE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</w:p>
    <w:p w:rsidR="00C179CE" w:rsidRPr="00C179CE" w:rsidRDefault="00C179CE" w:rsidP="00A5067B">
      <w:pPr>
        <w:spacing w:line="240" w:lineRule="auto"/>
        <w:jc w:val="center"/>
        <w:rPr>
          <w:rFonts w:ascii="Times New Roman" w:hAnsi="Times New Roman" w:cs="Times New Roman"/>
          <w:vertAlign w:val="baseline"/>
        </w:rPr>
      </w:pPr>
      <w:r w:rsidRPr="00C179CE">
        <w:rPr>
          <w:rFonts w:ascii="Times New Roman" w:hAnsi="Times New Roman" w:cs="Times New Roman"/>
          <w:vertAlign w:val="baseline"/>
        </w:rPr>
        <w:t>2017</w:t>
      </w:r>
    </w:p>
    <w:p w:rsidR="00A5067B" w:rsidRPr="00C179CE" w:rsidRDefault="00C179CE" w:rsidP="00C179CE">
      <w:pPr>
        <w:pStyle w:val="Prrafodelista"/>
        <w:numPr>
          <w:ilvl w:val="0"/>
          <w:numId w:val="1"/>
        </w:numPr>
        <w:spacing w:line="480" w:lineRule="auto"/>
        <w:jc w:val="center"/>
        <w:rPr>
          <w:rFonts w:ascii="Times New Roman" w:hAnsi="Times New Roman" w:cs="Times New Roman"/>
          <w:b/>
          <w:vertAlign w:val="baseline"/>
        </w:rPr>
      </w:pPr>
      <w:r w:rsidRPr="00C179CE">
        <w:rPr>
          <w:rFonts w:ascii="Times New Roman" w:hAnsi="Times New Roman" w:cs="Times New Roman"/>
          <w:b/>
          <w:vertAlign w:val="baseline"/>
        </w:rPr>
        <w:lastRenderedPageBreak/>
        <w:t>¿Qué es la Atención Integral?</w:t>
      </w:r>
    </w:p>
    <w:p w:rsidR="00C179CE" w:rsidRPr="00C179CE" w:rsidRDefault="00C179CE" w:rsidP="00C179CE">
      <w:pPr>
        <w:pStyle w:val="Prrafodelista"/>
        <w:spacing w:line="480" w:lineRule="auto"/>
        <w:rPr>
          <w:rFonts w:ascii="Times New Roman" w:hAnsi="Times New Roman" w:cs="Times New Roman"/>
          <w:vertAlign w:val="baseline"/>
        </w:rPr>
      </w:pPr>
    </w:p>
    <w:p w:rsidR="00C179CE" w:rsidRDefault="00C179CE" w:rsidP="00C179CE">
      <w:pPr>
        <w:spacing w:line="480" w:lineRule="auto"/>
        <w:rPr>
          <w:rFonts w:ascii="Times New Roman" w:hAnsi="Times New Roman" w:cs="Times New Roman"/>
          <w:vertAlign w:val="baseline"/>
        </w:rPr>
      </w:pPr>
    </w:p>
    <w:p w:rsidR="00C179CE" w:rsidRDefault="00C179CE" w:rsidP="00C179CE">
      <w:pPr>
        <w:spacing w:line="480" w:lineRule="auto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         El desarrollo de un niño o niña durante la primera infancia depende esencialmente de los estímulos que se le den y de las con</w:t>
      </w:r>
      <w:r w:rsidR="007F42AC">
        <w:rPr>
          <w:rFonts w:ascii="Times New Roman" w:hAnsi="Times New Roman" w:cs="Times New Roman"/>
          <w:vertAlign w:val="baseline"/>
        </w:rPr>
        <w:t xml:space="preserve">diciones en que se desenvuelva. Es por esto que en la etapa comprendida entre los cero y los cinco años de edad es necesario atender a los niños y las niñas de manera armónica. </w:t>
      </w:r>
    </w:p>
    <w:p w:rsidR="007F42AC" w:rsidRDefault="007F42AC" w:rsidP="007F42AC">
      <w:pPr>
        <w:spacing w:line="480" w:lineRule="auto"/>
        <w:rPr>
          <w:rFonts w:ascii="Times New Roman" w:hAnsi="Times New Roman" w:cs="Times New Roman"/>
          <w:vertAlign w:val="baseline"/>
        </w:rPr>
      </w:pPr>
    </w:p>
    <w:p w:rsidR="007F42AC" w:rsidRDefault="007F42AC" w:rsidP="007F42AC">
      <w:pPr>
        <w:spacing w:line="480" w:lineRule="auto"/>
        <w:rPr>
          <w:rFonts w:ascii="Times New Roman" w:hAnsi="Times New Roman" w:cs="Times New Roman"/>
          <w:vertAlign w:val="baseline"/>
        </w:rPr>
      </w:pPr>
      <w:r w:rsidRPr="004E67A5">
        <w:rPr>
          <w:rFonts w:ascii="Times New Roman" w:hAnsi="Times New Roman" w:cs="Times New Roman"/>
          <w:b/>
          <w:vertAlign w:val="baseline"/>
        </w:rPr>
        <w:t>1.1. ¿Por qué una atención integral para la primera infancia?</w:t>
      </w:r>
    </w:p>
    <w:p w:rsidR="007F42AC" w:rsidRDefault="007F42AC" w:rsidP="007F42AC">
      <w:pPr>
        <w:spacing w:line="480" w:lineRule="auto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         El país cuenta con un nuevo marco jurídico (Código de la Infancia y la adolescencia. Ley 1098 de 2006), el cual marca un hito para la defensa y garantía de los derechos humanos de los niños, las niñas y los adolescentes. </w:t>
      </w:r>
      <w:r w:rsidR="004224CC">
        <w:rPr>
          <w:rFonts w:ascii="Times New Roman" w:hAnsi="Times New Roman" w:cs="Times New Roman"/>
          <w:vertAlign w:val="baseline"/>
        </w:rPr>
        <w:t>El artículo de la Ley lo dice:</w:t>
      </w:r>
    </w:p>
    <w:p w:rsidR="004224CC" w:rsidRDefault="004224CC" w:rsidP="005F5A82">
      <w:pPr>
        <w:spacing w:line="480" w:lineRule="auto"/>
        <w:ind w:left="1416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La primera infancia es la etapa del ciclo vital en la que se establecen las bases para el desarrollo cognitivo, emocional y social del ser humano. Comprende la franja poblacional que va de los cero (0) a los seis (6) años. </w:t>
      </w:r>
      <w:r w:rsidR="00D7403D">
        <w:rPr>
          <w:rFonts w:ascii="Times New Roman" w:hAnsi="Times New Roman" w:cs="Times New Roman"/>
          <w:vertAlign w:val="baseline"/>
        </w:rPr>
        <w:t>Son derechos impostergables de la primera infancia: la atención en salud y nutrición, el esquema completo de vacunación, la protección contra los peligros físicos y la educación inicial. (Código de la Infancia y la Adolesce</w:t>
      </w:r>
      <w:r w:rsidR="004A7A51">
        <w:rPr>
          <w:rFonts w:ascii="Times New Roman" w:hAnsi="Times New Roman" w:cs="Times New Roman"/>
          <w:vertAlign w:val="baseline"/>
        </w:rPr>
        <w:t xml:space="preserve">ncia. Ley 1098, </w:t>
      </w:r>
      <w:r w:rsidR="00D7403D">
        <w:rPr>
          <w:rFonts w:ascii="Times New Roman" w:hAnsi="Times New Roman" w:cs="Times New Roman"/>
          <w:vertAlign w:val="baseline"/>
        </w:rPr>
        <w:t>2006, art.29, p.5).</w:t>
      </w:r>
    </w:p>
    <w:p w:rsidR="005F5A82" w:rsidRDefault="005F5A82" w:rsidP="005F5A82">
      <w:pPr>
        <w:spacing w:line="480" w:lineRule="auto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         De igual forma, en la consulta del Plan Decenal de Educación, luego de un proceso de debate y construcción participativa, se priorizo el desarrollo infantil y la educación inicial. </w:t>
      </w:r>
      <w:r w:rsidR="00ED5594">
        <w:rPr>
          <w:rFonts w:ascii="Times New Roman" w:hAnsi="Times New Roman" w:cs="Times New Roman"/>
          <w:vertAlign w:val="baseline"/>
        </w:rPr>
        <w:t>El capítulo del Plan Decenal de Educación lo dice:</w:t>
      </w:r>
    </w:p>
    <w:p w:rsidR="00ED5594" w:rsidRDefault="00ED5594" w:rsidP="00ED5594">
      <w:pPr>
        <w:spacing w:line="480" w:lineRule="auto"/>
        <w:ind w:left="1416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lastRenderedPageBreak/>
        <w:t>Garantizar la atención integral a los niños y niñas menores de seis años; asumiéndolo como un propósito intersectorial e intercultural en el que el sistema educativo articule las instancias del orden nacional, regional y local. (Plan Decenal de Educación</w:t>
      </w:r>
      <w:r w:rsidR="004A7A51">
        <w:rPr>
          <w:rFonts w:ascii="Times New Roman" w:hAnsi="Times New Roman" w:cs="Times New Roman"/>
          <w:vertAlign w:val="baseline"/>
        </w:rPr>
        <w:t xml:space="preserve">, </w:t>
      </w:r>
      <w:r>
        <w:rPr>
          <w:rFonts w:ascii="Times New Roman" w:hAnsi="Times New Roman" w:cs="Times New Roman"/>
          <w:vertAlign w:val="baseline"/>
        </w:rPr>
        <w:t>2006, Cap.II. p.52).</w:t>
      </w:r>
    </w:p>
    <w:p w:rsidR="00ED5594" w:rsidRDefault="00ED5594" w:rsidP="00ED5594">
      <w:pPr>
        <w:spacing w:line="480" w:lineRule="auto"/>
        <w:ind w:left="1416"/>
        <w:rPr>
          <w:rFonts w:ascii="Times New Roman" w:hAnsi="Times New Roman" w:cs="Times New Roman"/>
          <w:vertAlign w:val="baseline"/>
        </w:rPr>
      </w:pPr>
    </w:p>
    <w:p w:rsidR="00ED5594" w:rsidRDefault="00ED5594" w:rsidP="00ED5594">
      <w:pPr>
        <w:spacing w:line="480" w:lineRule="auto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         Es así como en el Plan Sectorial 2006-2010 del Ministerio de Educación Nacional, se incluyo el tema de la educación para la primera infancia, definiéndola como un asunto prioritario. </w:t>
      </w:r>
      <w:r w:rsidR="004A7A51">
        <w:rPr>
          <w:rFonts w:ascii="Times New Roman" w:hAnsi="Times New Roman" w:cs="Times New Roman"/>
          <w:vertAlign w:val="baseline"/>
        </w:rPr>
        <w:t>Conforme con este marco se viene avanzando en la construcción de una política educativa. En el Plan Sectorial 2006 dice:</w:t>
      </w:r>
    </w:p>
    <w:p w:rsidR="00DF4EAF" w:rsidRDefault="00DF4EAF" w:rsidP="00ED5594">
      <w:pPr>
        <w:spacing w:line="480" w:lineRule="auto"/>
        <w:rPr>
          <w:rFonts w:ascii="Times New Roman" w:hAnsi="Times New Roman" w:cs="Times New Roman"/>
          <w:vertAlign w:val="baseline"/>
        </w:rPr>
      </w:pPr>
    </w:p>
    <w:p w:rsidR="004A7A51" w:rsidRDefault="004A7A51" w:rsidP="004A7A51">
      <w:pPr>
        <w:spacing w:line="480" w:lineRule="auto"/>
        <w:ind w:left="1416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>Garantizar el cumplimiento efectivo de los Derechos de los niños y las niñas, traducidos en cuidado, nutrición y educación para todos. (Plan Sectorial, 2006-2010, p 12).</w:t>
      </w:r>
    </w:p>
    <w:p w:rsidR="004A7A51" w:rsidRDefault="004A7A51" w:rsidP="004A7A51">
      <w:pPr>
        <w:spacing w:line="480" w:lineRule="auto"/>
        <w:rPr>
          <w:rFonts w:ascii="Times New Roman" w:hAnsi="Times New Roman" w:cs="Times New Roman"/>
          <w:vertAlign w:val="baseline"/>
        </w:rPr>
      </w:pPr>
    </w:p>
    <w:p w:rsidR="00F274AB" w:rsidRDefault="004A7A51" w:rsidP="00F274AB">
      <w:pPr>
        <w:spacing w:line="480" w:lineRule="auto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         Por ello, la educación a los niños y niñas menores de cinco años se viene adelantando por medio de alianzas intersectoriales. Una de ellas es el convenio con el Instituto Colombian</w:t>
      </w:r>
      <w:r w:rsidR="00F274AB">
        <w:rPr>
          <w:rFonts w:ascii="Times New Roman" w:hAnsi="Times New Roman" w:cs="Times New Roman"/>
          <w:vertAlign w:val="baseline"/>
        </w:rPr>
        <w:t xml:space="preserve">o de Bienestar Familiar (icbf). Garantiza la integralidad en la atención a 400.000 niños y niñas menores de cinco años pertenecientes a los niveles uno y dos del Sisben. Fortaleciendo los procesos que vienen realizando en los escenarios comunitarios, en los espacios urbano y rural donde no hay ningún tipo de atención para estos niños y niñas (ICBF, 2006). Para potenciar las capacidades cognitivas, comunicativas y sociales de los niños y niñas. </w:t>
      </w:r>
    </w:p>
    <w:p w:rsidR="00F274AB" w:rsidRDefault="00F274AB" w:rsidP="00DF4EAF">
      <w:pPr>
        <w:spacing w:line="480" w:lineRule="auto"/>
        <w:jc w:val="center"/>
        <w:rPr>
          <w:rFonts w:ascii="Times New Roman" w:hAnsi="Times New Roman" w:cs="Times New Roman"/>
          <w:vertAlign w:val="baseline"/>
        </w:rPr>
      </w:pPr>
    </w:p>
    <w:p w:rsidR="00DF4EAF" w:rsidRDefault="00DF4EAF" w:rsidP="00DF4EAF">
      <w:pPr>
        <w:spacing w:line="480" w:lineRule="auto"/>
        <w:jc w:val="center"/>
        <w:rPr>
          <w:rFonts w:ascii="Times New Roman" w:hAnsi="Times New Roman" w:cs="Times New Roman"/>
          <w:b/>
          <w:vertAlign w:val="baseline"/>
        </w:rPr>
      </w:pPr>
      <w:r w:rsidRPr="00DF4EAF">
        <w:rPr>
          <w:rFonts w:ascii="Times New Roman" w:hAnsi="Times New Roman" w:cs="Times New Roman"/>
          <w:b/>
          <w:vertAlign w:val="baseline"/>
        </w:rPr>
        <w:t>BIBLIOGRAFIA</w:t>
      </w:r>
    </w:p>
    <w:p w:rsidR="00DF4EAF" w:rsidRDefault="00DF4EAF" w:rsidP="004E67A5">
      <w:pPr>
        <w:spacing w:line="480" w:lineRule="auto"/>
        <w:rPr>
          <w:rFonts w:ascii="Times New Roman" w:hAnsi="Times New Roman" w:cs="Times New Roman"/>
          <w:b/>
          <w:vertAlign w:val="baseline"/>
        </w:rPr>
      </w:pPr>
    </w:p>
    <w:p w:rsidR="004E67A5" w:rsidRDefault="004E67A5" w:rsidP="004E67A5">
      <w:pPr>
        <w:spacing w:line="480" w:lineRule="auto"/>
        <w:rPr>
          <w:rFonts w:ascii="Times New Roman" w:hAnsi="Times New Roman" w:cs="Times New Roman"/>
          <w:b/>
          <w:vertAlign w:val="baseline"/>
        </w:rPr>
      </w:pPr>
    </w:p>
    <w:p w:rsidR="00135E6F" w:rsidRDefault="00135E6F" w:rsidP="00135E6F">
      <w:pPr>
        <w:spacing w:line="480" w:lineRule="auto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Ministerio de Educación Nacional. (2010). </w:t>
      </w:r>
      <w:r w:rsidRPr="00135E6F">
        <w:rPr>
          <w:rFonts w:ascii="Times New Roman" w:hAnsi="Times New Roman" w:cs="Times New Roman"/>
          <w:i/>
          <w:vertAlign w:val="baseline"/>
        </w:rPr>
        <w:t xml:space="preserve">Manual de Implementación Programa de Atención Integral a la Primera Infancia, Fase de Transición. </w:t>
      </w:r>
      <w:r>
        <w:rPr>
          <w:rFonts w:ascii="Times New Roman" w:hAnsi="Times New Roman" w:cs="Times New Roman"/>
          <w:vertAlign w:val="baseline"/>
        </w:rPr>
        <w:t xml:space="preserve">Bogotá. </w:t>
      </w:r>
    </w:p>
    <w:p w:rsidR="004E67A5" w:rsidRDefault="00135E6F" w:rsidP="00135E6F">
      <w:pPr>
        <w:spacing w:line="480" w:lineRule="auto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Procuraduría General de la Nación. (2006). </w:t>
      </w:r>
      <w:r w:rsidRPr="004E67A5">
        <w:rPr>
          <w:rFonts w:ascii="Times New Roman" w:hAnsi="Times New Roman" w:cs="Times New Roman"/>
          <w:i/>
          <w:vertAlign w:val="baseline"/>
        </w:rPr>
        <w:t>código de la Infancia y la Adolescencia</w:t>
      </w:r>
      <w:r w:rsidR="004E67A5" w:rsidRPr="004E67A5">
        <w:rPr>
          <w:rFonts w:ascii="Times New Roman" w:hAnsi="Times New Roman" w:cs="Times New Roman"/>
          <w:i/>
          <w:vertAlign w:val="baseline"/>
        </w:rPr>
        <w:t xml:space="preserve">, Ley 1098 de 2006. </w:t>
      </w:r>
      <w:r w:rsidR="004E67A5">
        <w:rPr>
          <w:rFonts w:ascii="Times New Roman" w:hAnsi="Times New Roman" w:cs="Times New Roman"/>
          <w:vertAlign w:val="baseline"/>
        </w:rPr>
        <w:t xml:space="preserve">Bogotá. </w:t>
      </w:r>
    </w:p>
    <w:p w:rsidR="004E67A5" w:rsidRDefault="004E67A5" w:rsidP="004E67A5">
      <w:pPr>
        <w:spacing w:line="480" w:lineRule="auto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>Ministerio de Educación Nacional.</w:t>
      </w:r>
      <w:r w:rsidRPr="004E67A5">
        <w:rPr>
          <w:rFonts w:ascii="Times New Roman" w:hAnsi="Times New Roman" w:cs="Times New Roman"/>
          <w:i/>
          <w:vertAlign w:val="baseline"/>
        </w:rPr>
        <w:t xml:space="preserve"> </w:t>
      </w:r>
      <w:r>
        <w:rPr>
          <w:rFonts w:ascii="Times New Roman" w:hAnsi="Times New Roman" w:cs="Times New Roman"/>
          <w:vertAlign w:val="baseline"/>
        </w:rPr>
        <w:t xml:space="preserve">(2006). </w:t>
      </w:r>
      <w:r w:rsidRPr="004E67A5">
        <w:rPr>
          <w:rFonts w:ascii="Times New Roman" w:hAnsi="Times New Roman" w:cs="Times New Roman"/>
          <w:i/>
          <w:vertAlign w:val="baseline"/>
        </w:rPr>
        <w:t xml:space="preserve">Plan Decenal de </w:t>
      </w:r>
      <w:r>
        <w:rPr>
          <w:rFonts w:ascii="Times New Roman" w:hAnsi="Times New Roman" w:cs="Times New Roman"/>
          <w:i/>
          <w:vertAlign w:val="baseline"/>
        </w:rPr>
        <w:t xml:space="preserve">Educación. </w:t>
      </w:r>
      <w:r>
        <w:rPr>
          <w:rFonts w:ascii="Times New Roman" w:hAnsi="Times New Roman" w:cs="Times New Roman"/>
          <w:vertAlign w:val="baseline"/>
        </w:rPr>
        <w:t xml:space="preserve">Bogotá. </w:t>
      </w:r>
    </w:p>
    <w:p w:rsidR="004E67A5" w:rsidRDefault="004E67A5" w:rsidP="004E67A5">
      <w:pPr>
        <w:spacing w:line="480" w:lineRule="auto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Ministerio de Educación Nacional. (2006). </w:t>
      </w:r>
      <w:r w:rsidRPr="004E67A5">
        <w:rPr>
          <w:rFonts w:ascii="Times New Roman" w:hAnsi="Times New Roman" w:cs="Times New Roman"/>
          <w:i/>
          <w:vertAlign w:val="baseline"/>
        </w:rPr>
        <w:t>Plan Sectorial 2006-2010.</w:t>
      </w:r>
      <w:r>
        <w:rPr>
          <w:rFonts w:ascii="Times New Roman" w:hAnsi="Times New Roman" w:cs="Times New Roman"/>
          <w:vertAlign w:val="baseline"/>
        </w:rPr>
        <w:t xml:space="preserve"> Bogotá. </w:t>
      </w:r>
    </w:p>
    <w:p w:rsidR="004E67A5" w:rsidRDefault="004E67A5" w:rsidP="004E67A5">
      <w:pPr>
        <w:spacing w:line="480" w:lineRule="auto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República de Colombia. (2006). </w:t>
      </w:r>
      <w:r w:rsidRPr="004E67A5">
        <w:rPr>
          <w:rFonts w:ascii="Times New Roman" w:hAnsi="Times New Roman" w:cs="Times New Roman"/>
          <w:i/>
          <w:vertAlign w:val="baseline"/>
        </w:rPr>
        <w:t>Instituto Colombiano de Bienestar Familiar.</w:t>
      </w:r>
      <w:r>
        <w:rPr>
          <w:rFonts w:ascii="Times New Roman" w:hAnsi="Times New Roman" w:cs="Times New Roman"/>
          <w:vertAlign w:val="baseline"/>
        </w:rPr>
        <w:t xml:space="preserve"> Bogotá.</w:t>
      </w:r>
    </w:p>
    <w:p w:rsidR="004E67A5" w:rsidRPr="004E67A5" w:rsidRDefault="004E67A5" w:rsidP="004E67A5">
      <w:pPr>
        <w:spacing w:line="480" w:lineRule="auto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 </w:t>
      </w:r>
    </w:p>
    <w:p w:rsidR="004E67A5" w:rsidRDefault="004E67A5" w:rsidP="004E67A5">
      <w:pPr>
        <w:spacing w:line="480" w:lineRule="auto"/>
        <w:rPr>
          <w:rFonts w:ascii="Times New Roman" w:hAnsi="Times New Roman" w:cs="Times New Roman"/>
          <w:vertAlign w:val="baseline"/>
        </w:rPr>
      </w:pPr>
    </w:p>
    <w:p w:rsidR="004E67A5" w:rsidRPr="004E67A5" w:rsidRDefault="004E67A5" w:rsidP="004E67A5">
      <w:pPr>
        <w:spacing w:line="480" w:lineRule="auto"/>
        <w:rPr>
          <w:rFonts w:ascii="Times New Roman" w:hAnsi="Times New Roman" w:cs="Times New Roman"/>
          <w:vertAlign w:val="baseline"/>
        </w:rPr>
      </w:pPr>
    </w:p>
    <w:p w:rsidR="004E67A5" w:rsidRPr="004E67A5" w:rsidRDefault="004E67A5" w:rsidP="004E67A5">
      <w:pPr>
        <w:spacing w:line="480" w:lineRule="auto"/>
        <w:rPr>
          <w:rFonts w:ascii="Times New Roman" w:hAnsi="Times New Roman" w:cs="Times New Roman"/>
          <w:vertAlign w:val="baseline"/>
        </w:rPr>
      </w:pPr>
    </w:p>
    <w:p w:rsidR="004E67A5" w:rsidRDefault="004E67A5" w:rsidP="00135E6F">
      <w:pPr>
        <w:spacing w:line="480" w:lineRule="auto"/>
        <w:rPr>
          <w:rFonts w:ascii="Times New Roman" w:hAnsi="Times New Roman" w:cs="Times New Roman"/>
          <w:vertAlign w:val="baseline"/>
        </w:rPr>
      </w:pPr>
    </w:p>
    <w:p w:rsidR="004E67A5" w:rsidRDefault="004E67A5" w:rsidP="00135E6F">
      <w:pPr>
        <w:spacing w:line="480" w:lineRule="auto"/>
        <w:rPr>
          <w:rFonts w:ascii="Times New Roman" w:hAnsi="Times New Roman" w:cs="Times New Roman"/>
          <w:vertAlign w:val="baseline"/>
        </w:rPr>
      </w:pPr>
    </w:p>
    <w:p w:rsidR="004E67A5" w:rsidRPr="004E67A5" w:rsidRDefault="004E67A5" w:rsidP="00135E6F">
      <w:pPr>
        <w:spacing w:line="480" w:lineRule="auto"/>
        <w:rPr>
          <w:rFonts w:ascii="Times New Roman" w:hAnsi="Times New Roman" w:cs="Times New Roman"/>
          <w:vertAlign w:val="baseline"/>
        </w:rPr>
      </w:pPr>
    </w:p>
    <w:p w:rsidR="00DF4EAF" w:rsidRDefault="00DF4EAF" w:rsidP="00DF4EAF">
      <w:pPr>
        <w:spacing w:line="480" w:lineRule="auto"/>
        <w:rPr>
          <w:rFonts w:ascii="Times New Roman" w:hAnsi="Times New Roman" w:cs="Times New Roman"/>
          <w:vertAlign w:val="baseline"/>
        </w:rPr>
      </w:pPr>
    </w:p>
    <w:p w:rsidR="00F274AB" w:rsidRDefault="00F274AB" w:rsidP="00F274AB">
      <w:pPr>
        <w:spacing w:line="480" w:lineRule="auto"/>
        <w:rPr>
          <w:rFonts w:ascii="Times New Roman" w:hAnsi="Times New Roman" w:cs="Times New Roman"/>
          <w:vertAlign w:val="baseline"/>
        </w:rPr>
      </w:pPr>
    </w:p>
    <w:p w:rsidR="00F274AB" w:rsidRDefault="00F274AB" w:rsidP="00F274AB">
      <w:pPr>
        <w:spacing w:line="480" w:lineRule="auto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        </w:t>
      </w:r>
    </w:p>
    <w:p w:rsidR="00F274AB" w:rsidRDefault="00F274AB" w:rsidP="00F274AB">
      <w:pPr>
        <w:spacing w:line="480" w:lineRule="auto"/>
        <w:ind w:left="708"/>
        <w:rPr>
          <w:rFonts w:ascii="Times New Roman" w:hAnsi="Times New Roman" w:cs="Times New Roman"/>
          <w:vertAlign w:val="baseline"/>
        </w:rPr>
      </w:pPr>
    </w:p>
    <w:p w:rsidR="004A7A51" w:rsidRDefault="004A7A51" w:rsidP="004A7A51">
      <w:pPr>
        <w:spacing w:line="480" w:lineRule="auto"/>
        <w:ind w:left="1416"/>
        <w:rPr>
          <w:rFonts w:ascii="Times New Roman" w:hAnsi="Times New Roman" w:cs="Times New Roman"/>
          <w:vertAlign w:val="baseline"/>
        </w:rPr>
      </w:pPr>
    </w:p>
    <w:p w:rsidR="004A7A51" w:rsidRDefault="004A7A51" w:rsidP="004A7A51">
      <w:pPr>
        <w:spacing w:line="480" w:lineRule="auto"/>
        <w:rPr>
          <w:rFonts w:ascii="Times New Roman" w:hAnsi="Times New Roman" w:cs="Times New Roman"/>
          <w:vertAlign w:val="baseline"/>
        </w:rPr>
      </w:pPr>
    </w:p>
    <w:p w:rsidR="00ED5594" w:rsidRDefault="00ED5594" w:rsidP="00ED5594">
      <w:pPr>
        <w:spacing w:line="480" w:lineRule="auto"/>
        <w:ind w:left="1416"/>
        <w:rPr>
          <w:rFonts w:ascii="Times New Roman" w:hAnsi="Times New Roman" w:cs="Times New Roman"/>
          <w:vertAlign w:val="baseline"/>
        </w:rPr>
      </w:pPr>
    </w:p>
    <w:p w:rsidR="00ED5594" w:rsidRDefault="00ED5594" w:rsidP="00ED5594">
      <w:pPr>
        <w:spacing w:line="480" w:lineRule="auto"/>
        <w:ind w:left="1416"/>
        <w:rPr>
          <w:rFonts w:ascii="Times New Roman" w:hAnsi="Times New Roman" w:cs="Times New Roman"/>
          <w:vertAlign w:val="baseline"/>
        </w:rPr>
      </w:pPr>
    </w:p>
    <w:p w:rsidR="00ED5594" w:rsidRDefault="00ED5594" w:rsidP="00ED5594">
      <w:pPr>
        <w:spacing w:line="480" w:lineRule="auto"/>
        <w:ind w:left="1416"/>
        <w:rPr>
          <w:rFonts w:ascii="Times New Roman" w:hAnsi="Times New Roman" w:cs="Times New Roman"/>
          <w:vertAlign w:val="baseline"/>
        </w:rPr>
      </w:pPr>
    </w:p>
    <w:p w:rsidR="00ED5594" w:rsidRDefault="00ED5594" w:rsidP="00ED5594">
      <w:pPr>
        <w:spacing w:line="480" w:lineRule="auto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          </w:t>
      </w:r>
    </w:p>
    <w:p w:rsidR="005F5A82" w:rsidRDefault="005F5A82" w:rsidP="005F5A82">
      <w:pPr>
        <w:spacing w:line="480" w:lineRule="auto"/>
        <w:rPr>
          <w:rFonts w:ascii="Times New Roman" w:hAnsi="Times New Roman" w:cs="Times New Roman"/>
          <w:vertAlign w:val="baseline"/>
        </w:rPr>
      </w:pPr>
    </w:p>
    <w:p w:rsidR="005F5A82" w:rsidRDefault="005F5A82" w:rsidP="005F5A82">
      <w:pPr>
        <w:spacing w:line="480" w:lineRule="auto"/>
        <w:rPr>
          <w:rFonts w:ascii="Times New Roman" w:hAnsi="Times New Roman" w:cs="Times New Roman"/>
          <w:vertAlign w:val="baseline"/>
        </w:rPr>
      </w:pPr>
    </w:p>
    <w:p w:rsidR="004224CC" w:rsidRDefault="004224CC" w:rsidP="004224CC">
      <w:pPr>
        <w:spacing w:line="480" w:lineRule="auto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                  </w:t>
      </w:r>
    </w:p>
    <w:p w:rsidR="004224CC" w:rsidRDefault="004224CC" w:rsidP="007F42AC">
      <w:pPr>
        <w:spacing w:line="480" w:lineRule="auto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       </w:t>
      </w:r>
    </w:p>
    <w:p w:rsidR="004224CC" w:rsidRDefault="004224CC" w:rsidP="007F42AC">
      <w:pPr>
        <w:spacing w:line="480" w:lineRule="auto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                   </w:t>
      </w:r>
    </w:p>
    <w:p w:rsidR="004224CC" w:rsidRPr="007F42AC" w:rsidRDefault="004224CC" w:rsidP="007F42AC">
      <w:pPr>
        <w:spacing w:line="480" w:lineRule="auto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                 </w:t>
      </w:r>
    </w:p>
    <w:p w:rsidR="00C179CE" w:rsidRPr="00C179CE" w:rsidRDefault="00C179CE" w:rsidP="00C179CE">
      <w:pPr>
        <w:pStyle w:val="Prrafodelista"/>
        <w:spacing w:line="480" w:lineRule="auto"/>
        <w:rPr>
          <w:rFonts w:ascii="Times New Roman" w:hAnsi="Times New Roman" w:cs="Times New Roman"/>
          <w:vertAlign w:val="baseline"/>
        </w:rPr>
      </w:pPr>
    </w:p>
    <w:p w:rsidR="00A5067B" w:rsidRPr="00C179CE" w:rsidRDefault="00A5067B" w:rsidP="00C179CE">
      <w:pPr>
        <w:spacing w:line="480" w:lineRule="auto"/>
        <w:jc w:val="center"/>
        <w:rPr>
          <w:rFonts w:ascii="Times New Roman" w:hAnsi="Times New Roman" w:cs="Times New Roman"/>
          <w:vertAlign w:val="baseline"/>
        </w:rPr>
      </w:pPr>
    </w:p>
    <w:p w:rsidR="00A5067B" w:rsidRPr="00C179CE" w:rsidRDefault="00A5067B" w:rsidP="00C179CE">
      <w:pPr>
        <w:spacing w:line="480" w:lineRule="auto"/>
        <w:jc w:val="center"/>
        <w:rPr>
          <w:rFonts w:ascii="Times New Roman" w:hAnsi="Times New Roman" w:cs="Times New Roman"/>
          <w:vertAlign w:val="baseline"/>
        </w:rPr>
      </w:pPr>
    </w:p>
    <w:p w:rsidR="00A5067B" w:rsidRPr="00C179CE" w:rsidRDefault="00A5067B" w:rsidP="00C179CE">
      <w:pPr>
        <w:spacing w:line="480" w:lineRule="auto"/>
        <w:jc w:val="center"/>
        <w:rPr>
          <w:rFonts w:ascii="Times New Roman" w:hAnsi="Times New Roman" w:cs="Times New Roman"/>
          <w:vertAlign w:val="baseline"/>
        </w:rPr>
      </w:pPr>
    </w:p>
    <w:sectPr w:rsidR="00A5067B" w:rsidRPr="00C179CE" w:rsidSect="00C179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D13AC"/>
    <w:multiLevelType w:val="multilevel"/>
    <w:tmpl w:val="37C63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7B"/>
    <w:rsid w:val="00135E6F"/>
    <w:rsid w:val="004224CC"/>
    <w:rsid w:val="004A7A51"/>
    <w:rsid w:val="004E67A5"/>
    <w:rsid w:val="005F5A82"/>
    <w:rsid w:val="006A6E89"/>
    <w:rsid w:val="007F42AC"/>
    <w:rsid w:val="0094510B"/>
    <w:rsid w:val="00A5067B"/>
    <w:rsid w:val="00C03F57"/>
    <w:rsid w:val="00C179CE"/>
    <w:rsid w:val="00C876D9"/>
    <w:rsid w:val="00D7403D"/>
    <w:rsid w:val="00DF4EAF"/>
    <w:rsid w:val="00ED5594"/>
    <w:rsid w:val="00F2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vertAlign w:val="superscript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76D9"/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7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vertAlign w:val="superscript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76D9"/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7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dcterms:created xsi:type="dcterms:W3CDTF">2017-03-23T22:20:00Z</dcterms:created>
  <dcterms:modified xsi:type="dcterms:W3CDTF">2017-03-23T22:20:00Z</dcterms:modified>
</cp:coreProperties>
</file>