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ED" w:rsidRPr="00F24BED" w:rsidRDefault="00F24BED" w:rsidP="00F24BED">
      <w:pPr>
        <w:shd w:val="clear" w:color="auto" w:fill="FFFFFF"/>
        <w:spacing w:before="480" w:after="180" w:line="240" w:lineRule="auto"/>
        <w:outlineLvl w:val="1"/>
        <w:rPr>
          <w:rFonts w:ascii="Segoe UI" w:eastAsia="Times New Roman" w:hAnsi="Segoe UI" w:cs="Segoe UI"/>
          <w:color w:val="222222"/>
          <w:sz w:val="36"/>
          <w:szCs w:val="36"/>
          <w:lang w:eastAsia="es-CO"/>
        </w:rPr>
      </w:pPr>
      <w:r w:rsidRPr="00F24BED">
        <w:rPr>
          <w:rFonts w:ascii="Segoe UI" w:eastAsia="Times New Roman" w:hAnsi="Segoe UI" w:cs="Segoe UI"/>
          <w:color w:val="222222"/>
          <w:sz w:val="36"/>
          <w:szCs w:val="36"/>
          <w:lang w:eastAsia="es-CO"/>
        </w:rPr>
        <w:t>Características de las aplicaciones móviles</w:t>
      </w:r>
    </w:p>
    <w:p w:rsidR="00F24BED" w:rsidRPr="00F24BED" w:rsidRDefault="00F24BED" w:rsidP="00F24BED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</w:pPr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>Las siguientes características son importantes para el desarrollo móvil habilitado para la nube:</w:t>
      </w:r>
    </w:p>
    <w:p w:rsidR="00F24BED" w:rsidRPr="00F24BED" w:rsidRDefault="00F24BED" w:rsidP="00F24BE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570"/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</w:pPr>
      <w:r w:rsidRPr="00F24BE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es-CO"/>
        </w:rPr>
        <w:t>Autenticación y autorización</w:t>
      </w:r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 xml:space="preserve">: seleccione de entre una lista creciente de proveedores de identidades, como </w:t>
      </w:r>
      <w:proofErr w:type="spellStart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>Azure</w:t>
      </w:r>
      <w:proofErr w:type="spellEnd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 xml:space="preserve"> Active </w:t>
      </w:r>
      <w:proofErr w:type="spellStart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>Directory</w:t>
      </w:r>
      <w:proofErr w:type="spellEnd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 xml:space="preserve"> para la autenticación empresarial, y proveedores de redes sociales, como Facebook, Google, </w:t>
      </w:r>
      <w:proofErr w:type="spellStart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>Twitter</w:t>
      </w:r>
      <w:proofErr w:type="spellEnd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 xml:space="preserve"> y la cuenta de Microsoft. </w:t>
      </w:r>
      <w:proofErr w:type="spellStart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>Azure</w:t>
      </w:r>
      <w:proofErr w:type="spellEnd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 xml:space="preserve"> Mobile Apps dispone de un servicio </w:t>
      </w:r>
      <w:proofErr w:type="spellStart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>OAuth</w:t>
      </w:r>
      <w:proofErr w:type="spellEnd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 xml:space="preserve"> 2.0 para cada proveedor. También puede integrar el SDK para el proveedor de identidades para la funcion</w:t>
      </w:r>
      <w:r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>alidad específica del proveedor.</w:t>
      </w:r>
      <w:bookmarkStart w:id="0" w:name="_GoBack"/>
      <w:bookmarkEnd w:id="0"/>
    </w:p>
    <w:p w:rsidR="00F24BED" w:rsidRPr="00F24BED" w:rsidRDefault="00F24BED" w:rsidP="00F24BED">
      <w:pPr>
        <w:shd w:val="clear" w:color="auto" w:fill="FFFFFF"/>
        <w:spacing w:before="100" w:beforeAutospacing="1" w:after="0" w:line="240" w:lineRule="auto"/>
        <w:ind w:left="570"/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</w:pPr>
    </w:p>
    <w:p w:rsidR="00F24BED" w:rsidRDefault="00F24BED" w:rsidP="00F24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</w:pPr>
      <w:r w:rsidRPr="00F24BE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es-CO"/>
        </w:rPr>
        <w:t>Acceso a datos</w:t>
      </w:r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 xml:space="preserve">: </w:t>
      </w:r>
      <w:proofErr w:type="spellStart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>Azure</w:t>
      </w:r>
      <w:proofErr w:type="spellEnd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 xml:space="preserve"> Mobile Apps cuenta con un origen de datos </w:t>
      </w:r>
      <w:proofErr w:type="spellStart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>OData</w:t>
      </w:r>
      <w:proofErr w:type="spellEnd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 xml:space="preserve"> v3 adecuado para dispositivos móviles que está vinculado a SQL </w:t>
      </w:r>
      <w:proofErr w:type="spellStart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>Azure</w:t>
      </w:r>
      <w:proofErr w:type="spellEnd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 xml:space="preserve"> o a un servidor SQL Server local. Este servicio puede basarse en </w:t>
      </w:r>
      <w:proofErr w:type="spellStart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>Entity</w:t>
      </w:r>
      <w:proofErr w:type="spellEnd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 xml:space="preserve"> Framework, lo que permite integrarlo fácilmente con otros proveedores de datos </w:t>
      </w:r>
      <w:proofErr w:type="spellStart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>NoSQL</w:t>
      </w:r>
      <w:proofErr w:type="spellEnd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 xml:space="preserve"> y SQL, incluidos los proveedores de </w:t>
      </w:r>
      <w:proofErr w:type="spellStart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fldChar w:fldCharType="begin"/>
      </w:r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instrText xml:space="preserve"> HYPERLINK "https://docs.microsoft.com/es-es/azure/storage/storage-getting-started-guide" </w:instrText>
      </w:r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fldChar w:fldCharType="separate"/>
      </w:r>
      <w:r w:rsidRPr="00F24BED">
        <w:rPr>
          <w:rFonts w:ascii="Segoe UI" w:eastAsia="Times New Roman" w:hAnsi="Segoe UI" w:cs="Segoe UI"/>
          <w:color w:val="0050C5"/>
          <w:sz w:val="24"/>
          <w:szCs w:val="24"/>
          <w:lang w:eastAsia="es-CO"/>
        </w:rPr>
        <w:t>Azure</w:t>
      </w:r>
      <w:proofErr w:type="spellEnd"/>
      <w:r w:rsidRPr="00F24BED">
        <w:rPr>
          <w:rFonts w:ascii="Segoe UI" w:eastAsia="Times New Roman" w:hAnsi="Segoe UI" w:cs="Segoe UI"/>
          <w:color w:val="0050C5"/>
          <w:sz w:val="24"/>
          <w:szCs w:val="24"/>
          <w:lang w:eastAsia="es-CO"/>
        </w:rPr>
        <w:t xml:space="preserve"> </w:t>
      </w:r>
      <w:proofErr w:type="spellStart"/>
      <w:r w:rsidRPr="00F24BED">
        <w:rPr>
          <w:rFonts w:ascii="Segoe UI" w:eastAsia="Times New Roman" w:hAnsi="Segoe UI" w:cs="Segoe UI"/>
          <w:color w:val="0050C5"/>
          <w:sz w:val="24"/>
          <w:szCs w:val="24"/>
          <w:lang w:eastAsia="es-CO"/>
        </w:rPr>
        <w:t>Table</w:t>
      </w:r>
      <w:proofErr w:type="spellEnd"/>
      <w:r w:rsidRPr="00F24BED">
        <w:rPr>
          <w:rFonts w:ascii="Segoe UI" w:eastAsia="Times New Roman" w:hAnsi="Segoe UI" w:cs="Segoe UI"/>
          <w:color w:val="0050C5"/>
          <w:sz w:val="24"/>
          <w:szCs w:val="24"/>
          <w:lang w:eastAsia="es-CO"/>
        </w:rPr>
        <w:t xml:space="preserve"> Storage</w:t>
      </w:r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fldChar w:fldCharType="end"/>
      </w:r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 xml:space="preserve">, </w:t>
      </w:r>
      <w:proofErr w:type="spellStart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>MongoDB</w:t>
      </w:r>
      <w:proofErr w:type="spellEnd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>, </w:t>
      </w:r>
      <w:hyperlink r:id="rId5" w:history="1">
        <w:proofErr w:type="spellStart"/>
        <w:r w:rsidRPr="00F24BED">
          <w:rPr>
            <w:rFonts w:ascii="Segoe UI" w:eastAsia="Times New Roman" w:hAnsi="Segoe UI" w:cs="Segoe UI"/>
            <w:color w:val="0050C5"/>
            <w:sz w:val="24"/>
            <w:szCs w:val="24"/>
            <w:lang w:eastAsia="es-CO"/>
          </w:rPr>
          <w:t>DocumentDB</w:t>
        </w:r>
        <w:proofErr w:type="spellEnd"/>
      </w:hyperlink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 xml:space="preserve"> y las API de </w:t>
      </w:r>
      <w:proofErr w:type="spellStart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>SaaS</w:t>
      </w:r>
      <w:proofErr w:type="spellEnd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 xml:space="preserve"> API, como Office 365 y Salesforce.com.</w:t>
      </w:r>
    </w:p>
    <w:p w:rsidR="00F24BED" w:rsidRPr="00F24BED" w:rsidRDefault="00F24BED" w:rsidP="00F24BE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</w:pPr>
    </w:p>
    <w:p w:rsidR="00F24BED" w:rsidRPr="00F24BED" w:rsidRDefault="00F24BED" w:rsidP="00F24BE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570"/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</w:pPr>
      <w:r w:rsidRPr="00F24BE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es-CO"/>
        </w:rPr>
        <w:t>Sincronización sin conexión</w:t>
      </w:r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>: nuestros SDK de cliente facilitan la tarea de compilar aplicaciones móviles sólidas y dinámicas que funcionan con un conjunto de datos sin conexión, el cual puede sincronizarse automáticamente con los datos de back-</w:t>
      </w:r>
      <w:proofErr w:type="spellStart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>end</w:t>
      </w:r>
      <w:proofErr w:type="spellEnd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>, incluida la resolución de conflictos.</w:t>
      </w:r>
    </w:p>
    <w:p w:rsidR="00F24BED" w:rsidRPr="00F24BED" w:rsidRDefault="00F24BED" w:rsidP="00F24BED">
      <w:pPr>
        <w:shd w:val="clear" w:color="auto" w:fill="FFFFFF"/>
        <w:spacing w:before="100" w:beforeAutospacing="1" w:after="0" w:line="240" w:lineRule="auto"/>
        <w:ind w:left="570"/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</w:pPr>
    </w:p>
    <w:p w:rsidR="00F24BED" w:rsidRDefault="00F24BED" w:rsidP="00F24BE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570"/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</w:pPr>
      <w:r w:rsidRPr="00F24BE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es-CO"/>
        </w:rPr>
        <w:t xml:space="preserve">Notificaciones </w:t>
      </w:r>
      <w:proofErr w:type="spellStart"/>
      <w:r w:rsidRPr="00F24BE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es-CO"/>
        </w:rPr>
        <w:t>push</w:t>
      </w:r>
      <w:proofErr w:type="spellEnd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 xml:space="preserve">: nuestros SDK de cliente se integran perfectamente con las funcionalidades de registro de </w:t>
      </w:r>
      <w:proofErr w:type="spellStart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>Azure</w:t>
      </w:r>
      <w:proofErr w:type="spellEnd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 xml:space="preserve"> </w:t>
      </w:r>
      <w:proofErr w:type="spellStart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>Notification</w:t>
      </w:r>
      <w:proofErr w:type="spellEnd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 xml:space="preserve"> </w:t>
      </w:r>
      <w:proofErr w:type="spellStart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>Hubs</w:t>
      </w:r>
      <w:proofErr w:type="spellEnd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 xml:space="preserve">, lo que le permite enviar notificaciones </w:t>
      </w:r>
      <w:proofErr w:type="spellStart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>push</w:t>
      </w:r>
      <w:proofErr w:type="spellEnd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 xml:space="preserve"> a millones de usuarios simultáneamente.</w:t>
      </w:r>
    </w:p>
    <w:p w:rsidR="00F24BED" w:rsidRPr="00F24BED" w:rsidRDefault="00F24BED" w:rsidP="00F24BED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</w:pPr>
    </w:p>
    <w:p w:rsidR="00F24BED" w:rsidRPr="00F24BED" w:rsidRDefault="00F24BED" w:rsidP="00F24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</w:pPr>
      <w:r w:rsidRPr="00F24BE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es-CO"/>
        </w:rPr>
        <w:t>SDK de cliente</w:t>
      </w:r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>: proporcionamos un completo conjunto de SDK de cliente que cubren el desarrollo nativo (</w:t>
      </w:r>
      <w:proofErr w:type="spellStart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fldChar w:fldCharType="begin"/>
      </w:r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instrText xml:space="preserve"> HYPERLINK "https://docs.microsoft.com/es-es/azure/app-service-mobile/app-service-mobile-ios-how-to-use-client-library" </w:instrText>
      </w:r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fldChar w:fldCharType="separate"/>
      </w:r>
      <w:r w:rsidRPr="00F24BED">
        <w:rPr>
          <w:rFonts w:ascii="Segoe UI" w:eastAsia="Times New Roman" w:hAnsi="Segoe UI" w:cs="Segoe UI"/>
          <w:color w:val="0050C5"/>
          <w:sz w:val="24"/>
          <w:szCs w:val="24"/>
          <w:lang w:eastAsia="es-CO"/>
        </w:rPr>
        <w:t>iOS</w:t>
      </w:r>
      <w:proofErr w:type="spellEnd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fldChar w:fldCharType="end"/>
      </w:r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>, </w:t>
      </w:r>
      <w:proofErr w:type="spellStart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fldChar w:fldCharType="begin"/>
      </w:r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instrText xml:space="preserve"> HYPERLINK "https://docs.microsoft.com/es-es/azure/app-service-mobile/app-service-mobile-android-how-to-use-client-library" </w:instrText>
      </w:r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fldChar w:fldCharType="separate"/>
      </w:r>
      <w:r w:rsidRPr="00F24BED">
        <w:rPr>
          <w:rFonts w:ascii="Segoe UI" w:eastAsia="Times New Roman" w:hAnsi="Segoe UI" w:cs="Segoe UI"/>
          <w:color w:val="0050C5"/>
          <w:sz w:val="24"/>
          <w:szCs w:val="24"/>
          <w:lang w:eastAsia="es-CO"/>
        </w:rPr>
        <w:t>Android</w:t>
      </w:r>
      <w:proofErr w:type="spellEnd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fldChar w:fldCharType="end"/>
      </w:r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> y </w:t>
      </w:r>
      <w:hyperlink r:id="rId6" w:history="1">
        <w:r w:rsidRPr="00F24BED">
          <w:rPr>
            <w:rFonts w:ascii="Segoe UI" w:eastAsia="Times New Roman" w:hAnsi="Segoe UI" w:cs="Segoe UI"/>
            <w:color w:val="0050C5"/>
            <w:sz w:val="24"/>
            <w:szCs w:val="24"/>
            <w:lang w:eastAsia="es-CO"/>
          </w:rPr>
          <w:t>Windows</w:t>
        </w:r>
      </w:hyperlink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 xml:space="preserve">), el desarrollo </w:t>
      </w:r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lastRenderedPageBreak/>
        <w:t>multiplataforma (</w:t>
      </w:r>
      <w:proofErr w:type="spellStart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fldChar w:fldCharType="begin"/>
      </w:r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instrText xml:space="preserve"> HYPERLINK "https://docs.microsoft.com/es-es/azure/app-service-mobile/app-service-mobile-dotnet-how-to-use-client-library" </w:instrText>
      </w:r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fldChar w:fldCharType="separate"/>
      </w:r>
      <w:r w:rsidRPr="00F24BED">
        <w:rPr>
          <w:rFonts w:ascii="Segoe UI" w:eastAsia="Times New Roman" w:hAnsi="Segoe UI" w:cs="Segoe UI"/>
          <w:color w:val="0050C5"/>
          <w:sz w:val="24"/>
          <w:szCs w:val="24"/>
          <w:lang w:eastAsia="es-CO"/>
        </w:rPr>
        <w:t>Xamarin</w:t>
      </w:r>
      <w:proofErr w:type="spellEnd"/>
      <w:r w:rsidRPr="00F24BED">
        <w:rPr>
          <w:rFonts w:ascii="Segoe UI" w:eastAsia="Times New Roman" w:hAnsi="Segoe UI" w:cs="Segoe UI"/>
          <w:color w:val="0050C5"/>
          <w:sz w:val="24"/>
          <w:szCs w:val="24"/>
          <w:lang w:eastAsia="es-CO"/>
        </w:rPr>
        <w:t xml:space="preserve"> para </w:t>
      </w:r>
      <w:proofErr w:type="spellStart"/>
      <w:r w:rsidRPr="00F24BED">
        <w:rPr>
          <w:rFonts w:ascii="Segoe UI" w:eastAsia="Times New Roman" w:hAnsi="Segoe UI" w:cs="Segoe UI"/>
          <w:color w:val="0050C5"/>
          <w:sz w:val="24"/>
          <w:szCs w:val="24"/>
          <w:lang w:eastAsia="es-CO"/>
        </w:rPr>
        <w:t>iOS</w:t>
      </w:r>
      <w:proofErr w:type="spellEnd"/>
      <w:r w:rsidRPr="00F24BED">
        <w:rPr>
          <w:rFonts w:ascii="Segoe UI" w:eastAsia="Times New Roman" w:hAnsi="Segoe UI" w:cs="Segoe UI"/>
          <w:color w:val="0050C5"/>
          <w:sz w:val="24"/>
          <w:szCs w:val="24"/>
          <w:lang w:eastAsia="es-CO"/>
        </w:rPr>
        <w:t xml:space="preserve"> y </w:t>
      </w:r>
      <w:proofErr w:type="spellStart"/>
      <w:r w:rsidRPr="00F24BED">
        <w:rPr>
          <w:rFonts w:ascii="Segoe UI" w:eastAsia="Times New Roman" w:hAnsi="Segoe UI" w:cs="Segoe UI"/>
          <w:color w:val="0050C5"/>
          <w:sz w:val="24"/>
          <w:szCs w:val="24"/>
          <w:lang w:eastAsia="es-CO"/>
        </w:rPr>
        <w:t>Android</w:t>
      </w:r>
      <w:proofErr w:type="spellEnd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fldChar w:fldCharType="end"/>
      </w:r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>, </w:t>
      </w:r>
      <w:proofErr w:type="spellStart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fldChar w:fldCharType="begin"/>
      </w:r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instrText xml:space="preserve"> HYPERLINK "https://docs.microsoft.com/es-es/azure/app-service-mobile/app-service-mobile-xamarin-forms-get-started" </w:instrText>
      </w:r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fldChar w:fldCharType="separate"/>
      </w:r>
      <w:r w:rsidRPr="00F24BED">
        <w:rPr>
          <w:rFonts w:ascii="Segoe UI" w:eastAsia="Times New Roman" w:hAnsi="Segoe UI" w:cs="Segoe UI"/>
          <w:color w:val="0050C5"/>
          <w:sz w:val="24"/>
          <w:szCs w:val="24"/>
          <w:lang w:eastAsia="es-CO"/>
        </w:rPr>
        <w:t>Xamarin</w:t>
      </w:r>
      <w:proofErr w:type="spellEnd"/>
      <w:r w:rsidRPr="00F24BED">
        <w:rPr>
          <w:rFonts w:ascii="Segoe UI" w:eastAsia="Times New Roman" w:hAnsi="Segoe UI" w:cs="Segoe UI"/>
          <w:color w:val="0050C5"/>
          <w:sz w:val="24"/>
          <w:szCs w:val="24"/>
          <w:lang w:eastAsia="es-CO"/>
        </w:rPr>
        <w:t xml:space="preserve"> </w:t>
      </w:r>
      <w:proofErr w:type="spellStart"/>
      <w:r w:rsidRPr="00F24BED">
        <w:rPr>
          <w:rFonts w:ascii="Segoe UI" w:eastAsia="Times New Roman" w:hAnsi="Segoe UI" w:cs="Segoe UI"/>
          <w:color w:val="0050C5"/>
          <w:sz w:val="24"/>
          <w:szCs w:val="24"/>
          <w:lang w:eastAsia="es-CO"/>
        </w:rPr>
        <w:t>Forms</w:t>
      </w:r>
      <w:proofErr w:type="spellEnd"/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fldChar w:fldCharType="end"/>
      </w:r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>) y el desarrollo de aplicaciones híbridas (</w:t>
      </w:r>
      <w:hyperlink r:id="rId7" w:history="1">
        <w:r w:rsidRPr="00F24BED">
          <w:rPr>
            <w:rFonts w:ascii="Segoe UI" w:eastAsia="Times New Roman" w:hAnsi="Segoe UI" w:cs="Segoe UI"/>
            <w:color w:val="0050C5"/>
            <w:sz w:val="24"/>
            <w:szCs w:val="24"/>
            <w:lang w:eastAsia="es-CO"/>
          </w:rPr>
          <w:t xml:space="preserve">Apache </w:t>
        </w:r>
        <w:proofErr w:type="spellStart"/>
        <w:r w:rsidRPr="00F24BED">
          <w:rPr>
            <w:rFonts w:ascii="Segoe UI" w:eastAsia="Times New Roman" w:hAnsi="Segoe UI" w:cs="Segoe UI"/>
            <w:color w:val="0050C5"/>
            <w:sz w:val="24"/>
            <w:szCs w:val="24"/>
            <w:lang w:eastAsia="es-CO"/>
          </w:rPr>
          <w:t>Cordova</w:t>
        </w:r>
        <w:proofErr w:type="spellEnd"/>
      </w:hyperlink>
      <w:r w:rsidRPr="00F24BED">
        <w:rPr>
          <w:rFonts w:ascii="Segoe UI" w:eastAsia="Times New Roman" w:hAnsi="Segoe UI" w:cs="Segoe UI"/>
          <w:color w:val="222222"/>
          <w:sz w:val="24"/>
          <w:szCs w:val="24"/>
          <w:lang w:eastAsia="es-CO"/>
        </w:rPr>
        <w:t>). Cada SDK de cliente está disponible con una licencia MIT y es de código abierto.</w:t>
      </w:r>
    </w:p>
    <w:p w:rsidR="0020054C" w:rsidRDefault="0020054C"/>
    <w:sectPr w:rsidR="002005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053A"/>
    <w:multiLevelType w:val="multilevel"/>
    <w:tmpl w:val="40EE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ED"/>
    <w:rsid w:val="0020054C"/>
    <w:rsid w:val="00F2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AE6380-E7DE-4499-8E84-422712B4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24B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24BED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F2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F24BED"/>
    <w:rPr>
      <w:b/>
      <w:bCs/>
    </w:rPr>
  </w:style>
  <w:style w:type="character" w:customStyle="1" w:styleId="apple-converted-space">
    <w:name w:val="apple-converted-space"/>
    <w:basedOn w:val="Fuentedeprrafopredeter"/>
    <w:rsid w:val="00F24BED"/>
  </w:style>
  <w:style w:type="character" w:styleId="Hipervnculo">
    <w:name w:val="Hyperlink"/>
    <w:basedOn w:val="Fuentedeprrafopredeter"/>
    <w:uiPriority w:val="99"/>
    <w:semiHidden/>
    <w:unhideWhenUsed/>
    <w:rsid w:val="00F24BE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4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microsoft.com/es-es/azure/app-service-mobile/app-service-mobile-cordova-how-to-use-client-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microsoft.com/es-es/azure/app-service-mobile/app-service-mobile-dotnet-how-to-use-client-library" TargetMode="External"/><Relationship Id="rId5" Type="http://schemas.openxmlformats.org/officeDocument/2006/relationships/hyperlink" Target="https://docs.microsoft.com/es-es/azure/documentdb/documentdb-get-start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2017-04-19T02:38:00Z</dcterms:created>
  <dcterms:modified xsi:type="dcterms:W3CDTF">2017-04-19T02:41:00Z</dcterms:modified>
</cp:coreProperties>
</file>