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26" w:rsidRDefault="00DE3126" w:rsidP="00DE3126">
      <w:pPr>
        <w:jc w:val="center"/>
      </w:pPr>
      <w:r>
        <w:rPr>
          <w:noProof/>
          <w:lang w:eastAsia="es-CO"/>
        </w:rPr>
        <w:drawing>
          <wp:inline distT="0" distB="0" distL="0" distR="0">
            <wp:extent cx="1476375" cy="181559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09" cy="181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</w:t>
      </w:r>
      <w:r>
        <w:rPr>
          <w:noProof/>
          <w:lang w:eastAsia="es-CO"/>
        </w:rPr>
        <w:drawing>
          <wp:inline distT="0" distB="0" distL="0" distR="0" wp14:anchorId="3F1A35F4" wp14:editId="6B9497EC">
            <wp:extent cx="2293569" cy="1771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69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26" w:rsidRPr="00DE3126" w:rsidRDefault="00DE3126" w:rsidP="0076718A">
      <w:pPr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</w:t>
      </w:r>
      <w:r w:rsidRPr="00DE3126">
        <w:rPr>
          <w:rFonts w:ascii="Arial" w:hAnsi="Arial" w:cs="Arial"/>
          <w:b/>
          <w:bCs/>
          <w:sz w:val="24"/>
          <w:szCs w:val="24"/>
        </w:rPr>
        <w:t>Arreglo en cuadro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DE3126">
        <w:rPr>
          <w:rFonts w:ascii="Arial" w:hAnsi="Arial" w:cs="Arial"/>
          <w:b/>
          <w:bCs/>
          <w:sz w:val="24"/>
          <w:szCs w:val="24"/>
        </w:rPr>
        <w:t>Arreglo triangular</w:t>
      </w:r>
    </w:p>
    <w:p w:rsidR="005C0809" w:rsidRPr="0076718A" w:rsidRDefault="0076718A" w:rsidP="0076718A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8DF6" wp14:editId="1156E532">
                <wp:simplePos x="0" y="0"/>
                <wp:positionH relativeFrom="column">
                  <wp:posOffset>1352550</wp:posOffset>
                </wp:positionH>
                <wp:positionV relativeFrom="paragraph">
                  <wp:posOffset>274955</wp:posOffset>
                </wp:positionV>
                <wp:extent cx="4400550" cy="42100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21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18A" w:rsidRDefault="0076718A" w:rsidP="00DE31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El radio hidráulico empleado para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correlacionar los coeficientes de la coraza para un haz que tiene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deflectores, no es el verdadero radio hidráulico. La dirección del flujo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en la coraza es en parte a lo largo y en parte a ángulo recto al eje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mayor de los tubos del haz. El área de flujo a ángulos rectos respecto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al eje mayor es variable de hilera a hilera. Un radio hidráulico basado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en el área de flujo a través de cualquier hilera, no podría distinguir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entre un arreglo en cuadro o un arreglo triangular. Para poder obtener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correlaciones simples combinando tanto el tamaño como la cercanía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de los tubos y su tipo de arreglo, se logra una excelente correlación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si el radio hidráulico se calcula a lo largo en lugar de a través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del eje mayor de los tubos. El diámetro equivalente para la coraza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se toma entonces, como cuatro veces el radio hidráulico obtenido</w:t>
                            </w:r>
                            <w:r w:rsidR="00DE3126"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  <w:t>por el arreglo dispuesto en el cabezal de tubos.</w:t>
                            </w:r>
                          </w:p>
                          <w:p w:rsidR="00DE3126" w:rsidRDefault="00DE3126" w:rsidP="00DE31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="Book Antiqua"/>
                                <w:sz w:val="21"/>
                                <w:szCs w:val="21"/>
                              </w:rPr>
                            </w:pPr>
                          </w:p>
                          <w:p w:rsidR="00DE3126" w:rsidRDefault="00DE3126" w:rsidP="00DE31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3057525" cy="14287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75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06.5pt;margin-top:21.65pt;width:346.5pt;height:3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" fillcolor="#4f81bd [3204]" strokecolor="#243f60 [1604]" strokeweight="2pt">
                <v:textbox>
                  <w:txbxContent>
                    <w:p w:rsidR="0076718A" w:rsidRDefault="0076718A" w:rsidP="00DE31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El radio hidráulico empleado para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correlacionar los coeficientes de la coraza para un haz que tiene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deflectores, no es el verdadero radio hidráulico. La dirección del flujo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en la coraza es en parte a lo largo y en parte a ángulo recto al eje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mayor de los tubos del haz. El área de flujo a ángulos rectos respecto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al eje mayor es variable de hilera a hilera. Un radio hidráulico basado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en el área de flujo a través de cualquier hilera, no podría distinguir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entre un arreglo en cuadro o un arreglo triangular. Para poder obtener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correlaciones simples combinando tanto el tamaño como la cercanía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de los tubos y su tipo de arreglo, se logra una excelente correlación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si el radio hidráulico se calcula a lo largo en lugar de a través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del eje mayor de los tubos. El diámetro equivalente para la coraza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se toma entonces, como cuatro veces el radio hidráulico obtenido</w:t>
                      </w:r>
                      <w:r w:rsidR="00DE3126"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  <w:t>por el arreglo dispuesto en el cabezal de tubos.</w:t>
                      </w:r>
                    </w:p>
                    <w:p w:rsidR="00DE3126" w:rsidRDefault="00DE3126" w:rsidP="00DE31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="Book Antiqua"/>
                          <w:sz w:val="21"/>
                          <w:szCs w:val="21"/>
                        </w:rPr>
                      </w:pPr>
                    </w:p>
                    <w:p w:rsidR="00DE3126" w:rsidRDefault="00DE3126" w:rsidP="00DE31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3057525" cy="14287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752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5C0809" w:rsidRPr="0076718A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211B3"/>
    <w:rsid w:val="0022559C"/>
    <w:rsid w:val="00253A85"/>
    <w:rsid w:val="002B3FC6"/>
    <w:rsid w:val="003A7692"/>
    <w:rsid w:val="00436B5D"/>
    <w:rsid w:val="004B7237"/>
    <w:rsid w:val="00547A8B"/>
    <w:rsid w:val="00556715"/>
    <w:rsid w:val="005C0809"/>
    <w:rsid w:val="00621D72"/>
    <w:rsid w:val="00643C2F"/>
    <w:rsid w:val="006C5F4B"/>
    <w:rsid w:val="0076718A"/>
    <w:rsid w:val="009B45D5"/>
    <w:rsid w:val="00A64F6A"/>
    <w:rsid w:val="00B60D6D"/>
    <w:rsid w:val="00BF50F7"/>
    <w:rsid w:val="00C342B8"/>
    <w:rsid w:val="00D23A85"/>
    <w:rsid w:val="00D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2017-10-26T22:35:00Z</dcterms:created>
  <dcterms:modified xsi:type="dcterms:W3CDTF">2017-10-26T22:35:00Z</dcterms:modified>
</cp:coreProperties>
</file>