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7C" w:rsidRDefault="00305B7C" w:rsidP="002C773C">
      <w:pPr>
        <w:spacing w:line="480" w:lineRule="auto"/>
        <w:jc w:val="both"/>
        <w:rPr>
          <w:rFonts w:ascii="Arial" w:hAnsi="Arial" w:cs="Arial"/>
          <w:sz w:val="24"/>
          <w:szCs w:val="24"/>
        </w:rPr>
      </w:pPr>
      <w:bookmarkStart w:id="0" w:name="_GoBack"/>
      <w:bookmarkEnd w:id="0"/>
      <w:r>
        <w:rPr>
          <w:rFonts w:ascii="Arial" w:hAnsi="Arial" w:cs="Arial"/>
          <w:sz w:val="24"/>
          <w:szCs w:val="24"/>
        </w:rPr>
        <w:t>Contexto:</w:t>
      </w:r>
    </w:p>
    <w:p w:rsidR="006A7306" w:rsidRPr="002C773C" w:rsidRDefault="002C773C" w:rsidP="00305B7C">
      <w:pPr>
        <w:spacing w:line="480" w:lineRule="auto"/>
        <w:ind w:left="1417"/>
        <w:jc w:val="both"/>
        <w:rPr>
          <w:rFonts w:ascii="Arial" w:hAnsi="Arial" w:cs="Arial"/>
          <w:sz w:val="24"/>
          <w:szCs w:val="24"/>
        </w:rPr>
      </w:pPr>
      <w:r w:rsidRPr="002C773C">
        <w:rPr>
          <w:rFonts w:ascii="Arial" w:hAnsi="Arial" w:cs="Arial"/>
          <w:sz w:val="24"/>
          <w:szCs w:val="24"/>
        </w:rPr>
        <w:t>Un enfoque mejor en el contexto de los sistemas de bases de datos es permitir que un objeto tenga varios tipos, sin que tenga un tipo más especíﬁco. Los sistemas relacionales orientados a objetos pueden modelar esta característica utilizando la herencia en el nivel de las tablas, en vez de en el nivel de los tipos, y permitiendo que las entidades estén en más de una tabla simultáneamente.</w:t>
      </w:r>
      <w:r>
        <w:rPr>
          <w:rFonts w:ascii="Arial" w:hAnsi="Arial" w:cs="Arial"/>
          <w:sz w:val="24"/>
          <w:szCs w:val="24"/>
        </w:rPr>
        <w:t xml:space="preserve"> </w:t>
      </w:r>
      <w:sdt>
        <w:sdtPr>
          <w:rPr>
            <w:rFonts w:ascii="Arial" w:hAnsi="Arial" w:cs="Arial"/>
            <w:sz w:val="24"/>
            <w:szCs w:val="24"/>
          </w:rPr>
          <w:id w:val="430252061"/>
          <w:citation/>
        </w:sdtPr>
        <w:sdtEndPr/>
        <w:sdtContent>
          <w:r>
            <w:rPr>
              <w:rFonts w:ascii="Arial" w:hAnsi="Arial" w:cs="Arial"/>
              <w:sz w:val="24"/>
              <w:szCs w:val="24"/>
            </w:rPr>
            <w:fldChar w:fldCharType="begin"/>
          </w:r>
          <w:r w:rsidR="00763F44">
            <w:rPr>
              <w:rFonts w:ascii="Arial" w:hAnsi="Arial" w:cs="Arial"/>
              <w:sz w:val="24"/>
              <w:szCs w:val="24"/>
            </w:rPr>
            <w:instrText xml:space="preserve">CITATION Abr021 \p 216 \l 3082 </w:instrText>
          </w:r>
          <w:r>
            <w:rPr>
              <w:rFonts w:ascii="Arial" w:hAnsi="Arial" w:cs="Arial"/>
              <w:sz w:val="24"/>
              <w:szCs w:val="24"/>
            </w:rPr>
            <w:fldChar w:fldCharType="separate"/>
          </w:r>
          <w:r w:rsidR="00763F44" w:rsidRPr="00763F44">
            <w:rPr>
              <w:rFonts w:ascii="Arial" w:hAnsi="Arial" w:cs="Arial"/>
              <w:noProof/>
              <w:sz w:val="24"/>
              <w:szCs w:val="24"/>
            </w:rPr>
            <w:t>(Silberschatz, 2002, pág. 216)</w:t>
          </w:r>
          <w:r>
            <w:rPr>
              <w:rFonts w:ascii="Arial" w:hAnsi="Arial" w:cs="Arial"/>
              <w:sz w:val="24"/>
              <w:szCs w:val="24"/>
            </w:rPr>
            <w:fldChar w:fldCharType="end"/>
          </w:r>
        </w:sdtContent>
      </w:sdt>
    </w:p>
    <w:sectPr w:rsidR="006A7306" w:rsidRPr="002C773C" w:rsidSect="002C773C">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3C"/>
    <w:rsid w:val="002C773C"/>
    <w:rsid w:val="00305B7C"/>
    <w:rsid w:val="006A7306"/>
    <w:rsid w:val="00763F44"/>
    <w:rsid w:val="00CE4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1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1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7021">
      <w:bodyDiv w:val="1"/>
      <w:marLeft w:val="0"/>
      <w:marRight w:val="0"/>
      <w:marTop w:val="0"/>
      <w:marBottom w:val="0"/>
      <w:divBdr>
        <w:top w:val="none" w:sz="0" w:space="0" w:color="auto"/>
        <w:left w:val="none" w:sz="0" w:space="0" w:color="auto"/>
        <w:bottom w:val="none" w:sz="0" w:space="0" w:color="auto"/>
        <w:right w:val="none" w:sz="0" w:space="0" w:color="auto"/>
      </w:divBdr>
    </w:div>
    <w:div w:id="500704233">
      <w:bodyDiv w:val="1"/>
      <w:marLeft w:val="0"/>
      <w:marRight w:val="0"/>
      <w:marTop w:val="0"/>
      <w:marBottom w:val="0"/>
      <w:divBdr>
        <w:top w:val="none" w:sz="0" w:space="0" w:color="auto"/>
        <w:left w:val="none" w:sz="0" w:space="0" w:color="auto"/>
        <w:bottom w:val="none" w:sz="0" w:space="0" w:color="auto"/>
        <w:right w:val="none" w:sz="0" w:space="0" w:color="auto"/>
      </w:divBdr>
    </w:div>
    <w:div w:id="1412696828">
      <w:bodyDiv w:val="1"/>
      <w:marLeft w:val="0"/>
      <w:marRight w:val="0"/>
      <w:marTop w:val="0"/>
      <w:marBottom w:val="0"/>
      <w:divBdr>
        <w:top w:val="none" w:sz="0" w:space="0" w:color="auto"/>
        <w:left w:val="none" w:sz="0" w:space="0" w:color="auto"/>
        <w:bottom w:val="none" w:sz="0" w:space="0" w:color="auto"/>
        <w:right w:val="none" w:sz="0" w:space="0" w:color="auto"/>
      </w:divBdr>
    </w:div>
    <w:div w:id="1541016959">
      <w:bodyDiv w:val="1"/>
      <w:marLeft w:val="0"/>
      <w:marRight w:val="0"/>
      <w:marTop w:val="0"/>
      <w:marBottom w:val="0"/>
      <w:divBdr>
        <w:top w:val="none" w:sz="0" w:space="0" w:color="auto"/>
        <w:left w:val="none" w:sz="0" w:space="0" w:color="auto"/>
        <w:bottom w:val="none" w:sz="0" w:space="0" w:color="auto"/>
        <w:right w:val="none" w:sz="0" w:space="0" w:color="auto"/>
      </w:divBdr>
    </w:div>
    <w:div w:id="1628127506">
      <w:bodyDiv w:val="1"/>
      <w:marLeft w:val="0"/>
      <w:marRight w:val="0"/>
      <w:marTop w:val="0"/>
      <w:marBottom w:val="0"/>
      <w:divBdr>
        <w:top w:val="none" w:sz="0" w:space="0" w:color="auto"/>
        <w:left w:val="none" w:sz="0" w:space="0" w:color="auto"/>
        <w:bottom w:val="none" w:sz="0" w:space="0" w:color="auto"/>
        <w:right w:val="none" w:sz="0" w:space="0" w:color="auto"/>
      </w:divBdr>
    </w:div>
    <w:div w:id="20161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Abr021</b:Tag>
    <b:SourceType>Book</b:SourceType>
    <b:Guid>{4A4CCB91-598B-4D4A-BDDC-137D533AE2D1}</b:Guid>
    <b:Author>
      <b:Author>
        <b:NameList>
          <b:Person>
            <b:Last>Silberschatz</b:Last>
            <b:First>Abraham</b:First>
          </b:Person>
        </b:NameList>
      </b:Author>
    </b:Author>
    <b:Title>Fundamento de Base de Datos</b:Title>
    <b:Year>2002</b:Year>
    <b:City>Madrid</b:City>
    <b:Publisher>McGRAW-HILL/INTERAMERICANADE ESPAÑA, S. A. U.</b:Publisher>
    <b:RefOrder>1</b:RefOrder>
  </b:Source>
</b:Sources>
</file>

<file path=customXml/itemProps1.xml><?xml version="1.0" encoding="utf-8"?>
<ds:datastoreItem xmlns:ds="http://schemas.openxmlformats.org/officeDocument/2006/customXml" ds:itemID="{9E082DAC-740A-462B-B5B2-42F9CD3A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397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dcterms:created xsi:type="dcterms:W3CDTF">2018-02-15T20:31:00Z</dcterms:created>
  <dcterms:modified xsi:type="dcterms:W3CDTF">2018-02-15T20:31:00Z</dcterms:modified>
</cp:coreProperties>
</file>