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FA" w:rsidRPr="009F38A8" w:rsidRDefault="00D168FA" w:rsidP="00D1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</w:t>
      </w:r>
      <w:r w:rsidRPr="009F38A8">
        <w:rPr>
          <w:rFonts w:ascii="Arial" w:hAnsi="Arial" w:cs="Arial"/>
          <w:b/>
          <w:sz w:val="24"/>
          <w:szCs w:val="20"/>
        </w:rPr>
        <w:t>ba</w:t>
      </w:r>
      <w:r>
        <w:rPr>
          <w:rFonts w:ascii="Arial" w:hAnsi="Arial" w:cs="Arial"/>
          <w:b/>
          <w:sz w:val="24"/>
          <w:szCs w:val="20"/>
        </w:rPr>
        <w:t xml:space="preserve"> (administrador de base de datos).</w:t>
      </w:r>
    </w:p>
    <w:p w:rsidR="00D168FA" w:rsidRPr="005C2F49" w:rsidRDefault="00D168FA" w:rsidP="00D1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D168FA" w:rsidRPr="005C2F49" w:rsidRDefault="00D168FA" w:rsidP="00D168FA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2F49">
        <w:rPr>
          <w:rFonts w:ascii="Arial" w:hAnsi="Arial" w:cs="Arial"/>
          <w:sz w:val="24"/>
          <w:szCs w:val="24"/>
        </w:rPr>
        <w:t xml:space="preserve">La administración de estos recursos es responsabilidad del administrador de la base de datos (DBA, </w:t>
      </w:r>
      <w:proofErr w:type="spellStart"/>
      <w:r w:rsidRPr="005C2F49">
        <w:rPr>
          <w:rFonts w:ascii="Arial" w:hAnsi="Arial" w:cs="Arial"/>
          <w:sz w:val="24"/>
          <w:szCs w:val="24"/>
        </w:rPr>
        <w:t>database</w:t>
      </w:r>
      <w:proofErr w:type="spellEnd"/>
      <w:r w:rsidRPr="005C2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F49">
        <w:rPr>
          <w:rFonts w:ascii="Arial" w:hAnsi="Arial" w:cs="Arial"/>
          <w:sz w:val="24"/>
          <w:szCs w:val="24"/>
        </w:rPr>
        <w:t>administrator</w:t>
      </w:r>
      <w:proofErr w:type="spellEnd"/>
      <w:r w:rsidRPr="005C2F49">
        <w:rPr>
          <w:rFonts w:ascii="Arial" w:hAnsi="Arial" w:cs="Arial"/>
          <w:sz w:val="24"/>
          <w:szCs w:val="24"/>
        </w:rPr>
        <w:t>). El DBA es responsable del acceso autorizado a la base de datos, de la coordinación y monitorización</w:t>
      </w:r>
      <w:r>
        <w:rPr>
          <w:rFonts w:ascii="Arial" w:hAnsi="Arial" w:cs="Arial"/>
          <w:sz w:val="24"/>
          <w:szCs w:val="24"/>
        </w:rPr>
        <w:t xml:space="preserve"> </w:t>
      </w:r>
      <w:r w:rsidRPr="005C2F49">
        <w:rPr>
          <w:rFonts w:ascii="Arial" w:hAnsi="Arial" w:cs="Arial"/>
          <w:sz w:val="24"/>
          <w:szCs w:val="24"/>
        </w:rPr>
        <w:t>de su uso, y de adquirir l</w:t>
      </w:r>
      <w:bookmarkStart w:id="0" w:name="_GoBack"/>
      <w:bookmarkEnd w:id="0"/>
      <w:r w:rsidRPr="005C2F49">
        <w:rPr>
          <w:rFonts w:ascii="Arial" w:hAnsi="Arial" w:cs="Arial"/>
          <w:sz w:val="24"/>
          <w:szCs w:val="24"/>
        </w:rPr>
        <w:t xml:space="preserve">os recursos </w:t>
      </w:r>
      <w:r>
        <w:rPr>
          <w:rFonts w:ascii="Arial" w:hAnsi="Arial" w:cs="Arial"/>
          <w:sz w:val="24"/>
          <w:szCs w:val="24"/>
        </w:rPr>
        <w:t xml:space="preserve"> </w:t>
      </w:r>
      <w:r w:rsidRPr="005C2F49">
        <w:rPr>
          <w:rFonts w:ascii="Arial" w:hAnsi="Arial" w:cs="Arial"/>
          <w:sz w:val="24"/>
          <w:szCs w:val="24"/>
        </w:rPr>
        <w:t>software y hardware necesarios.</w:t>
      </w:r>
      <w:sdt>
        <w:sdtPr>
          <w:rPr>
            <w:rFonts w:ascii="Arial" w:hAnsi="Arial" w:cs="Arial"/>
            <w:sz w:val="24"/>
            <w:szCs w:val="24"/>
          </w:rPr>
          <w:id w:val="101249945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13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C2F49">
            <w:rPr>
              <w:rFonts w:ascii="Arial" w:hAnsi="Arial" w:cs="Arial"/>
              <w:noProof/>
              <w:sz w:val="24"/>
              <w:szCs w:val="24"/>
            </w:rPr>
            <w:t>(Elmasri, 2007, pág. 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D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B939E226-EA8E-4526-82E9-B9341723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2018-02-17T17:49:00Z</dcterms:created>
  <dcterms:modified xsi:type="dcterms:W3CDTF">2018-02-17T17:49:00Z</dcterms:modified>
</cp:coreProperties>
</file>