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5A" w:rsidRPr="0004655A" w:rsidRDefault="0004655A" w:rsidP="0004655A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04655A">
        <w:rPr>
          <w:rFonts w:ascii="Arial" w:hAnsi="Arial" w:cs="Arial"/>
          <w:b/>
          <w:sz w:val="24"/>
        </w:rPr>
        <w:t>Lenguaje de definición de vistas</w:t>
      </w:r>
    </w:p>
    <w:p w:rsidR="003011C8" w:rsidRDefault="0004655A" w:rsidP="0004655A">
      <w:pPr>
        <w:spacing w:line="360" w:lineRule="auto"/>
        <w:ind w:left="1417"/>
        <w:jc w:val="both"/>
        <w:rPr>
          <w:rFonts w:ascii="Arial" w:hAnsi="Arial" w:cs="Arial"/>
          <w:sz w:val="24"/>
        </w:rPr>
      </w:pPr>
      <w:r w:rsidRPr="0004655A">
        <w:rPr>
          <w:rFonts w:ascii="Arial" w:hAnsi="Arial" w:cs="Arial"/>
          <w:sz w:val="24"/>
        </w:rPr>
        <w:t>En la mayoría de los DBMS relacionales actuales, no hay un lenguaje específ</w:t>
      </w:r>
      <w:bookmarkStart w:id="0" w:name="_GoBack"/>
      <w:bookmarkEnd w:id="0"/>
      <w:r w:rsidRPr="0004655A">
        <w:rPr>
          <w:rFonts w:ascii="Arial" w:hAnsi="Arial" w:cs="Arial"/>
          <w:sz w:val="24"/>
        </w:rPr>
        <w:t>ico que asuma el papel de SDL. En cambio, el esquema interno se especifica mediante una combinación de parámetros y especificaciones relacionadas con el almacenamiento: el personal del DBA normalmente controla la indexación y la asignación de datos al almacenamiento. Para conseguir una arquitectura de tres esquemas real se necesita un tercer lenguaje, el lenguaje de definición de vistas, a fin de especificar las vistas de usuario y sus mapeados al esquema conceptual.</w:t>
      </w:r>
      <w:sdt>
        <w:sdtPr>
          <w:rPr>
            <w:rFonts w:ascii="Arial" w:hAnsi="Arial" w:cs="Arial"/>
            <w:sz w:val="24"/>
          </w:rPr>
          <w:id w:val="1712228420"/>
          <w:citation/>
        </w:sdtPr>
        <w:sdtContent>
          <w:r w:rsidR="0021559B">
            <w:rPr>
              <w:rFonts w:ascii="Arial" w:hAnsi="Arial" w:cs="Arial"/>
              <w:sz w:val="24"/>
            </w:rPr>
            <w:fldChar w:fldCharType="begin"/>
          </w:r>
          <w:r w:rsidR="0021559B">
            <w:rPr>
              <w:rFonts w:ascii="Arial" w:hAnsi="Arial" w:cs="Arial"/>
              <w:sz w:val="24"/>
            </w:rPr>
            <w:instrText xml:space="preserve">CITATION ELM07 \p 33 \l 2058 </w:instrText>
          </w:r>
          <w:r w:rsidR="0021559B">
            <w:rPr>
              <w:rFonts w:ascii="Arial" w:hAnsi="Arial" w:cs="Arial"/>
              <w:sz w:val="24"/>
            </w:rPr>
            <w:fldChar w:fldCharType="separate"/>
          </w:r>
          <w:r w:rsidR="0021559B">
            <w:rPr>
              <w:rFonts w:ascii="Arial" w:hAnsi="Arial" w:cs="Arial"/>
              <w:noProof/>
              <w:sz w:val="24"/>
            </w:rPr>
            <w:t xml:space="preserve"> </w:t>
          </w:r>
          <w:r w:rsidR="0021559B" w:rsidRPr="0021559B">
            <w:rPr>
              <w:rFonts w:ascii="Arial" w:hAnsi="Arial" w:cs="Arial"/>
              <w:noProof/>
              <w:sz w:val="24"/>
            </w:rPr>
            <w:t>(ELMASRI &amp; B. NAVATHE, 2007, pág. 33)</w:t>
          </w:r>
          <w:r w:rsidR="0021559B">
            <w:rPr>
              <w:rFonts w:ascii="Arial" w:hAnsi="Arial" w:cs="Arial"/>
              <w:sz w:val="24"/>
            </w:rPr>
            <w:fldChar w:fldCharType="end"/>
          </w:r>
        </w:sdtContent>
      </w:sdt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P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RP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04655A"/>
    <w:rsid w:val="0021559B"/>
    <w:rsid w:val="003011C8"/>
    <w:rsid w:val="0031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D51C587-4919-49D9-A7AB-56272E1B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Rubén</dc:creator>
  <cp:lastModifiedBy>Rubén</cp:lastModifiedBy>
  <cp:revision>3</cp:revision>
  <dcterms:created xsi:type="dcterms:W3CDTF">2018-02-17T22:36:00Z</dcterms:created>
  <dcterms:modified xsi:type="dcterms:W3CDTF">2018-02-18T22:22:00Z</dcterms:modified>
</cp:coreProperties>
</file>