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90" w:rsidRPr="00524C90" w:rsidRDefault="00524C90" w:rsidP="00524C90">
      <w:pPr>
        <w:jc w:val="both"/>
        <w:rPr>
          <w:rFonts w:ascii="Arial" w:hAnsi="Arial" w:cs="Arial"/>
          <w:b/>
          <w:sz w:val="24"/>
        </w:rPr>
      </w:pPr>
      <w:r w:rsidRPr="00524C90">
        <w:rPr>
          <w:rFonts w:ascii="Arial" w:hAnsi="Arial" w:cs="Arial"/>
          <w:b/>
          <w:sz w:val="24"/>
        </w:rPr>
        <w:t>Arquitectura de las bases de datos</w:t>
      </w:r>
    </w:p>
    <w:p w:rsidR="00524C90" w:rsidRDefault="00524C90" w:rsidP="00295C91">
      <w:pPr>
        <w:spacing w:line="360" w:lineRule="auto"/>
        <w:ind w:left="1418"/>
        <w:jc w:val="both"/>
        <w:rPr>
          <w:rFonts w:ascii="Arial" w:hAnsi="Arial" w:cs="Arial"/>
          <w:sz w:val="20"/>
        </w:rPr>
      </w:pPr>
      <w:r w:rsidRPr="009D0342">
        <w:rPr>
          <w:rFonts w:ascii="Arial" w:hAnsi="Arial" w:cs="Arial"/>
          <w:sz w:val="24"/>
        </w:rPr>
        <w:t>La arquitectura de un sistema de bases de datos está influenciada en gran medida por el</w:t>
      </w:r>
      <w:r>
        <w:rPr>
          <w:rFonts w:ascii="Arial" w:hAnsi="Arial" w:cs="Arial"/>
          <w:sz w:val="24"/>
        </w:rPr>
        <w:t xml:space="preserve"> </w:t>
      </w:r>
      <w:r w:rsidRPr="009D0342">
        <w:rPr>
          <w:rFonts w:ascii="Arial" w:hAnsi="Arial" w:cs="Arial"/>
          <w:sz w:val="24"/>
        </w:rPr>
        <w:t xml:space="preserve">sistema informático subyacente en el que se ejecuta, </w:t>
      </w:r>
      <w:bookmarkStart w:id="0" w:name="_GoBack"/>
      <w:bookmarkEnd w:id="0"/>
      <w:r w:rsidRPr="009D0342">
        <w:rPr>
          <w:rFonts w:ascii="Arial" w:hAnsi="Arial" w:cs="Arial"/>
          <w:sz w:val="24"/>
        </w:rPr>
        <w:t>en particular por aspectos de la arquitectura</w:t>
      </w:r>
      <w:r>
        <w:rPr>
          <w:rFonts w:ascii="Arial" w:hAnsi="Arial" w:cs="Arial"/>
          <w:sz w:val="24"/>
        </w:rPr>
        <w:t xml:space="preserve"> </w:t>
      </w:r>
      <w:r w:rsidRPr="009D0342">
        <w:rPr>
          <w:rFonts w:ascii="Arial" w:hAnsi="Arial" w:cs="Arial"/>
          <w:sz w:val="24"/>
        </w:rPr>
        <w:t>de la computadora</w:t>
      </w:r>
    </w:p>
    <w:p w:rsidR="00524C90" w:rsidRPr="00F65646" w:rsidRDefault="00524C90" w:rsidP="00295C91">
      <w:pPr>
        <w:spacing w:line="360" w:lineRule="auto"/>
        <w:ind w:left="1418"/>
        <w:jc w:val="both"/>
        <w:rPr>
          <w:rFonts w:ascii="Arial" w:hAnsi="Arial" w:cs="Arial"/>
          <w:sz w:val="24"/>
        </w:rPr>
      </w:pPr>
      <w:r w:rsidRPr="00F65646">
        <w:rPr>
          <w:rFonts w:ascii="Arial" w:hAnsi="Arial" w:cs="Arial"/>
          <w:sz w:val="24"/>
        </w:rPr>
        <w:t>Conexión en red de varias computadoras</w:t>
      </w:r>
      <w:r>
        <w:rPr>
          <w:rFonts w:ascii="Arial" w:hAnsi="Arial" w:cs="Arial"/>
          <w:sz w:val="24"/>
        </w:rPr>
        <w:t xml:space="preserve">: </w:t>
      </w:r>
      <w:r w:rsidRPr="00F65646">
        <w:rPr>
          <w:rFonts w:ascii="Arial" w:hAnsi="Arial" w:cs="Arial"/>
          <w:sz w:val="24"/>
        </w:rPr>
        <w:t>Permite que algunas tareas se ejecuten en un sistema servidor y que otras se ejecuten en los sistemas clientes</w:t>
      </w:r>
    </w:p>
    <w:p w:rsidR="00524C90" w:rsidRPr="00F65646" w:rsidRDefault="00524C90" w:rsidP="00295C91">
      <w:pPr>
        <w:spacing w:line="360" w:lineRule="auto"/>
        <w:ind w:left="1418"/>
        <w:jc w:val="both"/>
        <w:rPr>
          <w:rFonts w:ascii="Arial" w:hAnsi="Arial" w:cs="Arial"/>
          <w:sz w:val="24"/>
        </w:rPr>
      </w:pPr>
      <w:r w:rsidRPr="00F65646">
        <w:rPr>
          <w:rFonts w:ascii="Arial" w:hAnsi="Arial" w:cs="Arial"/>
          <w:sz w:val="24"/>
        </w:rPr>
        <w:t>El procesamiento paralelo</w:t>
      </w:r>
      <w:r>
        <w:rPr>
          <w:rFonts w:ascii="Arial" w:hAnsi="Arial" w:cs="Arial"/>
          <w:sz w:val="24"/>
        </w:rPr>
        <w:t xml:space="preserve">: </w:t>
      </w:r>
      <w:r w:rsidRPr="00F65646">
        <w:rPr>
          <w:rFonts w:ascii="Arial" w:hAnsi="Arial" w:cs="Arial"/>
          <w:sz w:val="24"/>
        </w:rPr>
        <w:t>Permite acelerar las actividades del sistema de base de datos, proporcionando a las transacciones unas respuestas más rápidas, así como la capacidad de ejecutar más transacciones por segundo</w:t>
      </w:r>
    </w:p>
    <w:p w:rsidR="00524C90" w:rsidRDefault="00524C90" w:rsidP="00295C91">
      <w:pPr>
        <w:spacing w:line="360" w:lineRule="auto"/>
        <w:ind w:left="1418"/>
        <w:jc w:val="both"/>
        <w:rPr>
          <w:rFonts w:ascii="Arial" w:hAnsi="Arial" w:cs="Arial"/>
          <w:sz w:val="24"/>
        </w:rPr>
      </w:pPr>
      <w:r w:rsidRPr="00F65646">
        <w:rPr>
          <w:rFonts w:ascii="Arial" w:hAnsi="Arial" w:cs="Arial"/>
          <w:sz w:val="24"/>
        </w:rPr>
        <w:t>La distribución de datos</w:t>
      </w:r>
      <w:r>
        <w:rPr>
          <w:rFonts w:ascii="Arial" w:hAnsi="Arial" w:cs="Arial"/>
          <w:sz w:val="24"/>
        </w:rPr>
        <w:t xml:space="preserve">: </w:t>
      </w:r>
      <w:r w:rsidRPr="00F65646">
        <w:rPr>
          <w:rFonts w:ascii="Arial" w:hAnsi="Arial" w:cs="Arial"/>
          <w:sz w:val="24"/>
        </w:rPr>
        <w:t>Permite que estos datos residan donde han sido generados o donde son más necesarios, pero continuar siendo accesibles</w:t>
      </w:r>
      <w:r>
        <w:rPr>
          <w:rFonts w:ascii="Arial" w:hAnsi="Arial" w:cs="Arial"/>
          <w:sz w:val="24"/>
        </w:rPr>
        <w:t xml:space="preserve"> desde</w:t>
      </w:r>
      <w:r w:rsidRPr="00F65646">
        <w:rPr>
          <w:rFonts w:ascii="Arial" w:hAnsi="Arial" w:cs="Arial"/>
          <w:sz w:val="24"/>
        </w:rPr>
        <w:t xml:space="preserve"> otros lugares o departamentos</w:t>
      </w:r>
      <w:r>
        <w:rPr>
          <w:rFonts w:ascii="Arial" w:hAnsi="Arial" w:cs="Arial"/>
          <w:sz w:val="24"/>
        </w:rPr>
        <w:t xml:space="preserve"> </w:t>
      </w:r>
      <w:r w:rsidRPr="00F65646">
        <w:rPr>
          <w:rFonts w:ascii="Arial" w:hAnsi="Arial" w:cs="Arial"/>
          <w:sz w:val="24"/>
        </w:rPr>
        <w:t>diferentes</w:t>
      </w:r>
      <w:r>
        <w:rPr>
          <w:rFonts w:ascii="Arial" w:hAnsi="Arial" w:cs="Arial"/>
          <w:sz w:val="24"/>
        </w:rPr>
        <w:t>.</w:t>
      </w:r>
      <w:sdt>
        <w:sdtPr>
          <w:rPr>
            <w:rFonts w:ascii="Arial" w:hAnsi="Arial" w:cs="Arial"/>
            <w:sz w:val="24"/>
          </w:rPr>
          <w:id w:val="-216435975"/>
          <w:citation/>
        </w:sdtPr>
        <w:sdtEndPr/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Abr \p 445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</w:rPr>
            <w:t xml:space="preserve"> </w:t>
          </w:r>
          <w:r w:rsidRPr="00F65646">
            <w:rPr>
              <w:rFonts w:ascii="Arial" w:hAnsi="Arial" w:cs="Arial"/>
              <w:noProof/>
              <w:sz w:val="24"/>
            </w:rPr>
            <w:t>(Silberschatz, 2002, pág. 445)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</w:p>
    <w:p w:rsidR="00524C90" w:rsidRDefault="00524C90"/>
    <w:sectPr w:rsidR="00524C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90"/>
    <w:rsid w:val="00295C91"/>
    <w:rsid w:val="0052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C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5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C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5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</b:Tag>
    <b:SourceType>Book</b:SourceType>
    <b:Guid>{BDCBA4AE-AE25-4143-8DE7-EB16B09FBAA2}</b:Guid>
    <b:Author>
      <b:Author>
        <b:NameList>
          <b:Person>
            <b:Last>Silberschatz</b:Last>
            <b:First>Abraham</b:First>
          </b:Person>
        </b:NameList>
      </b:Author>
    </b:Author>
    <b:Title>Fundamentos de Bases de Datos</b:Title>
    <b:Publisher>McGRAW-HILL</b:Publisher>
    <b:Year>2002</b:Year>
    <b:City>Aravaca, Madrid</b:City>
    <b:RefOrder>1</b:RefOrder>
  </b:Source>
</b:Sources>
</file>

<file path=customXml/itemProps1.xml><?xml version="1.0" encoding="utf-8"?>
<ds:datastoreItem xmlns:ds="http://schemas.openxmlformats.org/officeDocument/2006/customXml" ds:itemID="{E5C1CD1B-2443-4ECC-A9A0-07F323C4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Camacho</dc:creator>
  <cp:keywords/>
  <dc:description/>
  <cp:lastModifiedBy>Rubén</cp:lastModifiedBy>
  <cp:revision>2</cp:revision>
  <dcterms:created xsi:type="dcterms:W3CDTF">2018-02-13T03:05:00Z</dcterms:created>
  <dcterms:modified xsi:type="dcterms:W3CDTF">2018-02-18T22:14:00Z</dcterms:modified>
</cp:coreProperties>
</file>