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8C" w:rsidRPr="0083358C" w:rsidRDefault="0083358C" w:rsidP="0083358C">
      <w:pPr>
        <w:pBdr>
          <w:bottom w:val="single" w:sz="6" w:space="0" w:color="A2A9B1"/>
        </w:pBdr>
        <w:spacing w:after="60"/>
        <w:jc w:val="center"/>
        <w:outlineLvl w:val="0"/>
        <w:rPr>
          <w:rFonts w:asciiTheme="majorHAnsi" w:eastAsia="Batang" w:hAnsiTheme="majorHAnsi" w:cs="Times New Roman"/>
          <w:b/>
          <w:color w:val="000000"/>
          <w:kern w:val="36"/>
          <w:sz w:val="52"/>
          <w:szCs w:val="28"/>
          <w:lang w:val="es-ES" w:eastAsia="es-CO"/>
        </w:rPr>
      </w:pPr>
      <w:r w:rsidRPr="0083358C">
        <w:rPr>
          <w:rFonts w:asciiTheme="majorHAnsi" w:eastAsia="Batang" w:hAnsiTheme="majorHAnsi" w:cs="Times New Roman"/>
          <w:b/>
          <w:color w:val="000000"/>
          <w:kern w:val="36"/>
          <w:sz w:val="52"/>
          <w:szCs w:val="28"/>
          <w:lang w:val="es-ES" w:eastAsia="es-CO"/>
        </w:rPr>
        <w:t>Derecho</w:t>
      </w:r>
    </w:p>
    <w:p w:rsidR="0083358C" w:rsidRPr="0083358C" w:rsidRDefault="0083358C" w:rsidP="0083358C">
      <w:pPr>
        <w:spacing w:after="120"/>
        <w:jc w:val="both"/>
        <w:rPr>
          <w:rFonts w:asciiTheme="majorHAnsi" w:eastAsia="Batang" w:hAnsiTheme="majorHAnsi" w:cs="Arial"/>
          <w:i/>
          <w:iCs/>
          <w:color w:val="222222"/>
          <w:sz w:val="28"/>
          <w:szCs w:val="28"/>
          <w:lang w:val="es-ES" w:eastAsia="es-CO"/>
        </w:rPr>
      </w:pPr>
      <w:r w:rsidRPr="0083358C">
        <w:rPr>
          <w:rFonts w:asciiTheme="majorHAnsi" w:eastAsia="Batang" w:hAnsiTheme="majorHAnsi" w:cs="Arial"/>
          <w:i/>
          <w:iCs/>
          <w:color w:val="222222"/>
          <w:sz w:val="28"/>
          <w:szCs w:val="28"/>
          <w:lang w:val="es-ES" w:eastAsia="es-CO"/>
        </w:rPr>
        <w:t>Para otros usos de este término, véase </w:t>
      </w:r>
      <w:hyperlink r:id="rId5" w:tooltip="Derecho (desambiguación)" w:history="1">
        <w:r w:rsidRPr="0083358C">
          <w:rPr>
            <w:rFonts w:asciiTheme="majorHAnsi" w:eastAsia="Batang" w:hAnsiTheme="majorHAnsi" w:cs="Arial"/>
            <w:i/>
            <w:iCs/>
            <w:color w:val="0B0080"/>
            <w:sz w:val="28"/>
            <w:szCs w:val="28"/>
            <w:lang w:val="es-ES" w:eastAsia="es-CO"/>
          </w:rPr>
          <w:t>Derecho (desambiguación)</w:t>
        </w:r>
      </w:hyperlink>
      <w:r w:rsidRPr="0083358C">
        <w:rPr>
          <w:rFonts w:asciiTheme="majorHAnsi" w:eastAsia="Batang" w:hAnsiTheme="majorHAnsi" w:cs="Arial"/>
          <w:i/>
          <w:iCs/>
          <w:color w:val="222222"/>
          <w:sz w:val="28"/>
          <w:szCs w:val="28"/>
          <w:lang w:val="es-ES" w:eastAsia="es-CO"/>
        </w:rPr>
        <w:t>.</w:t>
      </w:r>
    </w:p>
    <w:p w:rsidR="0083358C" w:rsidRPr="0083358C" w:rsidRDefault="0083358C" w:rsidP="0083358C">
      <w:pPr>
        <w:shd w:val="clear" w:color="auto" w:fill="F8F9FA"/>
        <w:spacing w:after="0"/>
        <w:jc w:val="center"/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</w:pPr>
      <w:r w:rsidRPr="0083358C">
        <w:rPr>
          <w:rFonts w:asciiTheme="majorHAnsi" w:eastAsia="Batang" w:hAnsiTheme="majorHAnsi" w:cs="Arial"/>
          <w:noProof/>
          <w:color w:val="0B0080"/>
          <w:sz w:val="28"/>
          <w:szCs w:val="28"/>
          <w:lang w:eastAsia="es-CO"/>
        </w:rPr>
        <w:drawing>
          <wp:inline distT="0" distB="0" distL="0" distR="0" wp14:anchorId="5AB7DAC0" wp14:editId="5A4FCEE4">
            <wp:extent cx="2474595" cy="3736975"/>
            <wp:effectExtent l="0" t="0" r="1905" b="0"/>
            <wp:docPr id="1" name="Imagen 1" descr="https://upload.wikimedia.org/wikipedia/commons/thumb/5/53/JMR-Memphis1.jpg/260px-JMR-Memphis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3/JMR-Memphis1.jpg/260px-JMR-Memphis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58C" w:rsidRPr="0083358C" w:rsidRDefault="0083358C" w:rsidP="0083358C">
      <w:pPr>
        <w:shd w:val="clear" w:color="auto" w:fill="F8F9FA"/>
        <w:jc w:val="both"/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</w:pP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 xml:space="preserve">La representación de la diosa </w:t>
      </w:r>
      <w:proofErr w:type="spellStart"/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Iustitia</w:t>
      </w:r>
      <w:proofErr w:type="spellEnd"/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 xml:space="preserve"> (literalmente justicia en latín) la muestra equipada con tres símbolos del derecho: la espada simboliza el poder coercitivo del Estado; la balanza simboliza el equilibrio entre los derechos de los litigantes; y la venda sobre los ojos representa la imparcialidad.</w:t>
      </w:r>
      <w:hyperlink r:id="rId8" w:anchor="cite_note-1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vertAlign w:val="superscript"/>
            <w:lang w:val="es-ES" w:eastAsia="es-CO"/>
          </w:rPr>
          <w:t>1</w:t>
        </w:r>
      </w:hyperlink>
      <w:r w:rsidRPr="0083358C">
        <w:rPr>
          <w:rFonts w:asciiTheme="majorHAnsi" w:eastAsia="MS Mincho" w:hAnsiTheme="majorHAnsi" w:cs="MS Mincho"/>
          <w:color w:val="222222"/>
          <w:sz w:val="28"/>
          <w:szCs w:val="28"/>
          <w:lang w:val="es-ES" w:eastAsia="es-CO"/>
        </w:rPr>
        <w:t>​</w:t>
      </w:r>
    </w:p>
    <w:p w:rsidR="0083358C" w:rsidRPr="0083358C" w:rsidRDefault="0083358C" w:rsidP="0083358C">
      <w:pPr>
        <w:spacing w:before="120" w:after="120"/>
        <w:jc w:val="both"/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</w:pP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El </w:t>
      </w:r>
      <w:r w:rsidRPr="0083358C">
        <w:rPr>
          <w:rFonts w:asciiTheme="majorHAnsi" w:eastAsia="Batang" w:hAnsiTheme="majorHAnsi" w:cs="Arial"/>
          <w:b/>
          <w:bCs/>
          <w:color w:val="222222"/>
          <w:sz w:val="28"/>
          <w:szCs w:val="28"/>
          <w:lang w:val="es-ES" w:eastAsia="es-CO"/>
        </w:rPr>
        <w:t>derecho</w:t>
      </w: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es un orden normativo</w:t>
      </w:r>
      <w:hyperlink r:id="rId9" w:anchor="cite_note-2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vertAlign w:val="superscript"/>
            <w:lang w:val="es-ES" w:eastAsia="es-CO"/>
          </w:rPr>
          <w:t>2</w:t>
        </w:r>
      </w:hyperlink>
      <w:r w:rsidRPr="0083358C">
        <w:rPr>
          <w:rFonts w:asciiTheme="majorHAnsi" w:eastAsia="MS Mincho" w:hAnsiTheme="majorHAnsi" w:cs="MS Mincho"/>
          <w:color w:val="222222"/>
          <w:sz w:val="28"/>
          <w:szCs w:val="28"/>
          <w:lang w:val="es-ES" w:eastAsia="es-CO"/>
        </w:rPr>
        <w:t>​</w:t>
      </w: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 xml:space="preserve"> e </w:t>
      </w:r>
      <w:hyperlink r:id="rId10" w:tooltip="Institución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institucional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de la </w:t>
      </w:r>
      <w:hyperlink r:id="rId11" w:tooltip="Comportamient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conducta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</w:t>
      </w:r>
      <w:hyperlink r:id="rId12" w:tooltip="Human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humana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en </w:t>
      </w:r>
      <w:hyperlink r:id="rId13" w:tooltip="Sociedad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sociedad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inspirado en postulados de </w:t>
      </w:r>
      <w:hyperlink r:id="rId14" w:tooltip="Justicia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justicia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y </w:t>
      </w:r>
      <w:hyperlink r:id="rId15" w:tooltip="Seguridad jurídica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certeza jurídica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.</w:t>
      </w:r>
      <w:hyperlink r:id="rId16" w:anchor="cite_note-3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vertAlign w:val="superscript"/>
            <w:lang w:val="es-ES" w:eastAsia="es-CO"/>
          </w:rPr>
          <w:t>3</w:t>
        </w:r>
      </w:hyperlink>
      <w:r w:rsidRPr="0083358C">
        <w:rPr>
          <w:rFonts w:asciiTheme="majorHAnsi" w:eastAsia="MS Mincho" w:hAnsiTheme="majorHAnsi" w:cs="MS Mincho"/>
          <w:color w:val="222222"/>
          <w:sz w:val="28"/>
          <w:szCs w:val="28"/>
          <w:lang w:val="es-ES" w:eastAsia="es-CO"/>
        </w:rPr>
        <w:t>​</w:t>
      </w: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 xml:space="preserve"> Su carácter y contenido está basado en las relaciones sociales en un determinado lugar y tiempo. El concepto del derecho es estudiado por la </w:t>
      </w:r>
      <w:hyperlink r:id="rId17" w:tooltip="Filosofía del derech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filosofía del derecho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. A lo largo de la historia </w:t>
      </w:r>
      <w:hyperlink r:id="rId18" w:tooltip="Jurista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juristas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, </w:t>
      </w:r>
      <w:hyperlink r:id="rId19" w:tooltip="Filosofía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filósofos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y teóricos del derecho han propuesto definiciones alternativas y distintas </w:t>
      </w:r>
      <w:hyperlink r:id="rId20" w:tooltip="Teoría del Derech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teorías jurídicas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sin que exista consenso sobre su definición.</w:t>
      </w:r>
    </w:p>
    <w:p w:rsidR="0083358C" w:rsidRPr="0083358C" w:rsidRDefault="0083358C" w:rsidP="0083358C">
      <w:pPr>
        <w:spacing w:before="120" w:after="120"/>
        <w:jc w:val="both"/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</w:pP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lastRenderedPageBreak/>
        <w:t>La expresión «derecho» se utiliza indistintamente para nombrar a la disciplina y su objeto de estudio. Así, «derecho» dice relación con la </w:t>
      </w:r>
      <w:hyperlink r:id="rId21" w:tooltip="Ciencia jurídica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ciencia del derecho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o un determinado cuerpo de normas (por ejemplo, </w:t>
      </w:r>
      <w:hyperlink r:id="rId22" w:tooltip="Derecho civil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derecho civil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, </w:t>
      </w:r>
      <w:hyperlink r:id="rId23" w:tooltip="Derecho penal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derecho penal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, </w:t>
      </w:r>
      <w:hyperlink r:id="rId24" w:tooltip="Derecho procesal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derecho procesal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, </w:t>
      </w:r>
      <w:hyperlink r:id="rId25" w:tooltip="Derecho internacional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derecho internacional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, etc.). De acuerdo con la </w:t>
      </w:r>
      <w:hyperlink r:id="rId26" w:tooltip="Real Academia de la Lengua Española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Real Academia de la Lengua Española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y la Fundación del Español Urgente, todas las acepciones de «derecho» se escriben con minúscula, a excepción de cuando hacen referencia a un departamento, facultad o asignatura.</w:t>
      </w:r>
      <w:hyperlink r:id="rId27" w:anchor="cite_note-4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vertAlign w:val="superscript"/>
            <w:lang w:val="es-ES" w:eastAsia="es-CO"/>
          </w:rPr>
          <w:t>4</w:t>
        </w:r>
      </w:hyperlink>
      <w:r w:rsidRPr="0083358C">
        <w:rPr>
          <w:rFonts w:asciiTheme="majorHAnsi" w:eastAsia="MS Mincho" w:hAnsiTheme="majorHAnsi" w:cs="MS Mincho"/>
          <w:color w:val="222222"/>
          <w:sz w:val="28"/>
          <w:szCs w:val="28"/>
          <w:lang w:val="es-ES" w:eastAsia="es-CO"/>
        </w:rPr>
        <w:t>​</w:t>
      </w:r>
      <w:hyperlink r:id="rId28" w:anchor="cite_note-5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vertAlign w:val="superscript"/>
            <w:lang w:val="es-ES" w:eastAsia="es-CO"/>
          </w:rPr>
          <w:t>5</w:t>
        </w:r>
      </w:hyperlink>
      <w:r w:rsidRPr="0083358C">
        <w:rPr>
          <w:rFonts w:asciiTheme="majorHAnsi" w:eastAsia="MS Mincho" w:hAnsiTheme="majorHAnsi" w:cs="MS Mincho"/>
          <w:color w:val="222222"/>
          <w:sz w:val="28"/>
          <w:szCs w:val="28"/>
          <w:lang w:val="es-ES" w:eastAsia="es-CO"/>
        </w:rPr>
        <w:t>​</w:t>
      </w:r>
    </w:p>
    <w:p w:rsidR="0083358C" w:rsidRPr="0083358C" w:rsidRDefault="0083358C" w:rsidP="0083358C">
      <w:pPr>
        <w:spacing w:before="120" w:after="120"/>
        <w:jc w:val="both"/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</w:pP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El </w:t>
      </w:r>
      <w:hyperlink r:id="rId29" w:tooltip="Derecho objetiv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derecho objetivo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es el conjunto de normas jurídicas: </w:t>
      </w:r>
      <w:hyperlink r:id="rId30" w:tooltip="Ley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leyes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, </w:t>
      </w:r>
      <w:hyperlink r:id="rId31" w:tooltip="Reglament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reglamentos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, de carácter permanente y obligatorio, creadas por el </w:t>
      </w:r>
      <w:hyperlink r:id="rId32" w:tooltip="Estad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Estado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para la conservación del orden social. Siempre teniendo en cuenta la validez, es decir, si se ha llevado a cabo el procedimiento adecuado para su creación, independientemente de su eficacia, y de su ideal axiológico (si busca concretar un valor como la justicia, la armonía, el bien común, etcétera).</w:t>
      </w:r>
    </w:p>
    <w:p w:rsidR="0083358C" w:rsidRPr="0083358C" w:rsidRDefault="0083358C" w:rsidP="0083358C">
      <w:pPr>
        <w:spacing w:before="120" w:after="120"/>
        <w:jc w:val="both"/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</w:pPr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El </w:t>
      </w:r>
      <w:hyperlink r:id="rId33" w:tooltip="Derecho subjetiv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derecho subjetivo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es la facultad que ha otorgado el ordenamiento jurídico a un </w:t>
      </w:r>
      <w:hyperlink r:id="rId34" w:tooltip="Sujeto de derecho" w:history="1">
        <w:r w:rsidRPr="0083358C">
          <w:rPr>
            <w:rFonts w:asciiTheme="majorHAnsi" w:eastAsia="Batang" w:hAnsiTheme="majorHAnsi" w:cs="Arial"/>
            <w:color w:val="0B0080"/>
            <w:sz w:val="28"/>
            <w:szCs w:val="28"/>
            <w:lang w:val="es-ES" w:eastAsia="es-CO"/>
          </w:rPr>
          <w:t>sujeto</w:t>
        </w:r>
      </w:hyperlink>
      <w:r w:rsidRPr="0083358C">
        <w:rPr>
          <w:rFonts w:asciiTheme="majorHAnsi" w:eastAsia="Batang" w:hAnsiTheme="majorHAnsi" w:cs="Arial"/>
          <w:color w:val="222222"/>
          <w:sz w:val="28"/>
          <w:szCs w:val="28"/>
          <w:lang w:val="es-ES" w:eastAsia="es-CO"/>
        </w:rPr>
        <w:t> (por ejemplo, derecho a la nacionalidad, derecho a la salud, derecho a demandar, derecho a manifestarse libre y pacíficamente, etc.)</w:t>
      </w:r>
    </w:p>
    <w:p w:rsidR="00A96EEC" w:rsidRPr="0083358C" w:rsidRDefault="00A96EEC" w:rsidP="0083358C">
      <w:pPr>
        <w:jc w:val="both"/>
        <w:rPr>
          <w:rFonts w:asciiTheme="majorHAnsi" w:eastAsia="Batang" w:hAnsiTheme="majorHAnsi"/>
          <w:sz w:val="28"/>
          <w:szCs w:val="28"/>
        </w:rPr>
      </w:pPr>
    </w:p>
    <w:sectPr w:rsidR="00A96EEC" w:rsidRPr="00833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8C"/>
    <w:rsid w:val="0083358C"/>
    <w:rsid w:val="00A96EEC"/>
    <w:rsid w:val="00F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3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1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recho" TargetMode="External"/><Relationship Id="rId13" Type="http://schemas.openxmlformats.org/officeDocument/2006/relationships/hyperlink" Target="https://es.wikipedia.org/wiki/Sociedad" TargetMode="External"/><Relationship Id="rId18" Type="http://schemas.openxmlformats.org/officeDocument/2006/relationships/hyperlink" Target="https://es.wikipedia.org/wiki/Jurista" TargetMode="External"/><Relationship Id="rId26" Type="http://schemas.openxmlformats.org/officeDocument/2006/relationships/hyperlink" Target="https://es.wikipedia.org/wiki/Real_Academia_de_la_Lengua_Espa%C3%B1o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iencia_jur%C3%ADdica" TargetMode="External"/><Relationship Id="rId34" Type="http://schemas.openxmlformats.org/officeDocument/2006/relationships/hyperlink" Target="https://es.wikipedia.org/wiki/Sujeto_de_derech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Humano" TargetMode="External"/><Relationship Id="rId17" Type="http://schemas.openxmlformats.org/officeDocument/2006/relationships/hyperlink" Target="https://es.wikipedia.org/wiki/Filosof%C3%ADa_del_derecho" TargetMode="External"/><Relationship Id="rId25" Type="http://schemas.openxmlformats.org/officeDocument/2006/relationships/hyperlink" Target="https://es.wikipedia.org/wiki/Derecho_internacional" TargetMode="External"/><Relationship Id="rId33" Type="http://schemas.openxmlformats.org/officeDocument/2006/relationships/hyperlink" Target="https://es.wikipedia.org/wiki/Derecho_subjetiv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Derecho" TargetMode="External"/><Relationship Id="rId20" Type="http://schemas.openxmlformats.org/officeDocument/2006/relationships/hyperlink" Target="https://es.wikipedia.org/wiki/Teor%C3%ADa_del_Derecho" TargetMode="External"/><Relationship Id="rId29" Type="http://schemas.openxmlformats.org/officeDocument/2006/relationships/hyperlink" Target="https://es.wikipedia.org/wiki/Derecho_objetivo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JMR-Memphis1.jpg" TargetMode="External"/><Relationship Id="rId11" Type="http://schemas.openxmlformats.org/officeDocument/2006/relationships/hyperlink" Target="https://es.wikipedia.org/wiki/Comportamiento" TargetMode="External"/><Relationship Id="rId24" Type="http://schemas.openxmlformats.org/officeDocument/2006/relationships/hyperlink" Target="https://es.wikipedia.org/wiki/Derecho_procesal" TargetMode="External"/><Relationship Id="rId32" Type="http://schemas.openxmlformats.org/officeDocument/2006/relationships/hyperlink" Target="https://es.wikipedia.org/wiki/Estado" TargetMode="External"/><Relationship Id="rId5" Type="http://schemas.openxmlformats.org/officeDocument/2006/relationships/hyperlink" Target="https://es.wikipedia.org/wiki/Derecho_(desambiguaci%C3%B3n)" TargetMode="External"/><Relationship Id="rId15" Type="http://schemas.openxmlformats.org/officeDocument/2006/relationships/hyperlink" Target="https://es.wikipedia.org/wiki/Seguridad_jur%C3%ADdica" TargetMode="External"/><Relationship Id="rId23" Type="http://schemas.openxmlformats.org/officeDocument/2006/relationships/hyperlink" Target="https://es.wikipedia.org/wiki/Derecho_penal" TargetMode="External"/><Relationship Id="rId28" Type="http://schemas.openxmlformats.org/officeDocument/2006/relationships/hyperlink" Target="https://es.wikipedia.org/wiki/Derech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wikipedia.org/wiki/Instituci%C3%B3n" TargetMode="External"/><Relationship Id="rId19" Type="http://schemas.openxmlformats.org/officeDocument/2006/relationships/hyperlink" Target="https://es.wikipedia.org/wiki/Filosof%C3%ADa" TargetMode="External"/><Relationship Id="rId31" Type="http://schemas.openxmlformats.org/officeDocument/2006/relationships/hyperlink" Target="https://es.wikipedia.org/wiki/Regla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Derecho" TargetMode="External"/><Relationship Id="rId14" Type="http://schemas.openxmlformats.org/officeDocument/2006/relationships/hyperlink" Target="https://es.wikipedia.org/wiki/Justicia" TargetMode="External"/><Relationship Id="rId22" Type="http://schemas.openxmlformats.org/officeDocument/2006/relationships/hyperlink" Target="https://es.wikipedia.org/wiki/Derecho_civil" TargetMode="External"/><Relationship Id="rId27" Type="http://schemas.openxmlformats.org/officeDocument/2006/relationships/hyperlink" Target="https://es.wikipedia.org/wiki/Derecho" TargetMode="External"/><Relationship Id="rId30" Type="http://schemas.openxmlformats.org/officeDocument/2006/relationships/hyperlink" Target="https://es.wikipedia.org/wiki/Le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2018-03-04T02:55:00Z</dcterms:created>
  <dcterms:modified xsi:type="dcterms:W3CDTF">2018-03-04T02:55:00Z</dcterms:modified>
</cp:coreProperties>
</file>