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DB" w:rsidRPr="007D78DB" w:rsidRDefault="007D78DB" w:rsidP="007D78DB">
      <w:pPr>
        <w:shd w:val="clear" w:color="auto" w:fill="FFFFFF"/>
        <w:spacing w:after="0" w:line="240" w:lineRule="auto"/>
        <w:outlineLvl w:val="1"/>
        <w:rPr>
          <w:rFonts w:ascii="Verdana" w:eastAsia="Times New Roman" w:hAnsi="Verdana" w:cs="Times New Roman"/>
          <w:color w:val="000080"/>
          <w:sz w:val="29"/>
          <w:szCs w:val="29"/>
          <w:lang w:eastAsia="es-PE"/>
        </w:rPr>
      </w:pPr>
      <w:r w:rsidRPr="007D78DB">
        <w:rPr>
          <w:rFonts w:ascii="Verdana" w:eastAsia="Times New Roman" w:hAnsi="Verdana" w:cs="Times New Roman"/>
          <w:color w:val="000080"/>
          <w:sz w:val="29"/>
          <w:szCs w:val="29"/>
          <w:lang w:eastAsia="es-PE"/>
        </w:rPr>
        <w:fldChar w:fldCharType="begin"/>
      </w:r>
      <w:r w:rsidRPr="007D78DB">
        <w:rPr>
          <w:rFonts w:ascii="Verdana" w:eastAsia="Times New Roman" w:hAnsi="Verdana" w:cs="Times New Roman"/>
          <w:color w:val="000080"/>
          <w:sz w:val="29"/>
          <w:szCs w:val="29"/>
          <w:lang w:eastAsia="es-PE"/>
        </w:rPr>
        <w:instrText xml:space="preserve"> HYPERLINK "http://www.scielo.org.co/scielo.php?script=sci_serial&amp;pid=0120-4157&amp;lng=en&amp;nrm=iso" </w:instrText>
      </w:r>
      <w:r w:rsidRPr="007D78DB">
        <w:rPr>
          <w:rFonts w:ascii="Verdana" w:eastAsia="Times New Roman" w:hAnsi="Verdana" w:cs="Times New Roman"/>
          <w:color w:val="000080"/>
          <w:sz w:val="29"/>
          <w:szCs w:val="29"/>
          <w:lang w:eastAsia="es-PE"/>
        </w:rPr>
        <w:fldChar w:fldCharType="separate"/>
      </w:r>
      <w:r w:rsidRPr="007D78DB">
        <w:rPr>
          <w:rFonts w:ascii="Verdana" w:eastAsia="Times New Roman" w:hAnsi="Verdana" w:cs="Times New Roman"/>
          <w:color w:val="0000FF"/>
          <w:sz w:val="29"/>
          <w:szCs w:val="29"/>
          <w:u w:val="single"/>
          <w:lang w:eastAsia="es-PE"/>
        </w:rPr>
        <w:t>Biomédica</w:t>
      </w:r>
      <w:r w:rsidRPr="007D78DB">
        <w:rPr>
          <w:rFonts w:ascii="Verdana" w:eastAsia="Times New Roman" w:hAnsi="Verdana" w:cs="Times New Roman"/>
          <w:color w:val="000080"/>
          <w:sz w:val="29"/>
          <w:szCs w:val="29"/>
          <w:lang w:eastAsia="es-PE"/>
        </w:rPr>
        <w:fldChar w:fldCharType="end"/>
      </w:r>
    </w:p>
    <w:p w:rsidR="007D78DB" w:rsidRPr="007D78DB" w:rsidRDefault="007D78DB" w:rsidP="007D78DB">
      <w:pPr>
        <w:shd w:val="clear" w:color="auto" w:fill="FFFFFF"/>
        <w:spacing w:after="0" w:line="240" w:lineRule="auto"/>
        <w:outlineLvl w:val="1"/>
        <w:rPr>
          <w:rFonts w:ascii="Verdana" w:eastAsia="Times New Roman" w:hAnsi="Verdana" w:cs="Times New Roman"/>
          <w:color w:val="000080"/>
          <w:sz w:val="18"/>
          <w:szCs w:val="18"/>
          <w:lang w:eastAsia="es-PE"/>
        </w:rPr>
      </w:pPr>
      <w:proofErr w:type="spellStart"/>
      <w:r w:rsidRPr="007D78DB">
        <w:rPr>
          <w:rFonts w:ascii="Verdana" w:eastAsia="Times New Roman" w:hAnsi="Verdana" w:cs="Times New Roman"/>
          <w:i/>
          <w:iCs/>
          <w:color w:val="0000A0"/>
          <w:sz w:val="18"/>
          <w:szCs w:val="18"/>
          <w:lang w:eastAsia="es-PE"/>
        </w:rPr>
        <w:t>Print</w:t>
      </w:r>
      <w:proofErr w:type="spellEnd"/>
      <w:r w:rsidRPr="007D78DB">
        <w:rPr>
          <w:rFonts w:ascii="Verdana" w:eastAsia="Times New Roman" w:hAnsi="Verdana" w:cs="Times New Roman"/>
          <w:i/>
          <w:iCs/>
          <w:color w:val="0000A0"/>
          <w:sz w:val="18"/>
          <w:szCs w:val="18"/>
          <w:lang w:eastAsia="es-PE"/>
        </w:rPr>
        <w:t> </w:t>
      </w:r>
      <w:proofErr w:type="spellStart"/>
      <w:r w:rsidRPr="007D78DB">
        <w:rPr>
          <w:rFonts w:ascii="Verdana" w:eastAsia="Times New Roman" w:hAnsi="Verdana" w:cs="Times New Roman"/>
          <w:i/>
          <w:iCs/>
          <w:color w:val="0000A0"/>
          <w:sz w:val="18"/>
          <w:szCs w:val="18"/>
          <w:lang w:eastAsia="es-PE"/>
        </w:rPr>
        <w:t>version</w:t>
      </w:r>
      <w:proofErr w:type="spellEnd"/>
      <w:r w:rsidRPr="007D78DB">
        <w:rPr>
          <w:rFonts w:ascii="Verdana" w:eastAsia="Times New Roman" w:hAnsi="Verdana" w:cs="Times New Roman"/>
          <w:color w:val="0000A0"/>
          <w:sz w:val="18"/>
          <w:szCs w:val="18"/>
          <w:lang w:eastAsia="es-PE"/>
        </w:rPr>
        <w:t> ISSN </w:t>
      </w:r>
      <w:r w:rsidRPr="007D78DB">
        <w:rPr>
          <w:rFonts w:ascii="Verdana" w:eastAsia="Times New Roman" w:hAnsi="Verdana" w:cs="Times New Roman"/>
          <w:color w:val="000080"/>
          <w:sz w:val="18"/>
          <w:szCs w:val="18"/>
          <w:lang w:eastAsia="es-PE"/>
        </w:rPr>
        <w:t>0120-4157</w:t>
      </w:r>
    </w:p>
    <w:p w:rsidR="007D78DB" w:rsidRPr="007D78DB" w:rsidRDefault="007D78DB" w:rsidP="007D78DB">
      <w:pPr>
        <w:shd w:val="clear" w:color="auto" w:fill="FFFFFF"/>
        <w:spacing w:before="100" w:beforeAutospacing="1" w:after="100" w:afterAutospacing="1" w:line="240" w:lineRule="auto"/>
        <w:outlineLvl w:val="2"/>
        <w:rPr>
          <w:rFonts w:ascii="times" w:eastAsia="Times New Roman" w:hAnsi="times" w:cs="Times New Roman"/>
          <w:b/>
          <w:bCs/>
          <w:color w:val="800000"/>
          <w:lang w:eastAsia="es-PE"/>
        </w:rPr>
      </w:pPr>
      <w:r w:rsidRPr="007D78DB">
        <w:rPr>
          <w:rFonts w:ascii="times" w:eastAsia="Times New Roman" w:hAnsi="times" w:cs="Times New Roman"/>
          <w:b/>
          <w:bCs/>
          <w:color w:val="800000"/>
          <w:lang w:eastAsia="es-PE"/>
        </w:rPr>
        <w:t>Biomédica vol.33 no.1 Bogotá </w:t>
      </w:r>
      <w:proofErr w:type="spellStart"/>
      <w:r w:rsidRPr="007D78DB">
        <w:rPr>
          <w:rFonts w:ascii="times" w:eastAsia="Times New Roman" w:hAnsi="times" w:cs="Times New Roman"/>
          <w:b/>
          <w:bCs/>
          <w:color w:val="800000"/>
          <w:lang w:eastAsia="es-PE"/>
        </w:rPr>
        <w:t>Jan</w:t>
      </w:r>
      <w:proofErr w:type="spellEnd"/>
      <w:proofErr w:type="gramStart"/>
      <w:r w:rsidRPr="007D78DB">
        <w:rPr>
          <w:rFonts w:ascii="times" w:eastAsia="Times New Roman" w:hAnsi="times" w:cs="Times New Roman"/>
          <w:b/>
          <w:bCs/>
          <w:color w:val="800000"/>
          <w:lang w:eastAsia="es-PE"/>
        </w:rPr>
        <w:t>./</w:t>
      </w:r>
      <w:proofErr w:type="gramEnd"/>
      <w:r w:rsidRPr="007D78DB">
        <w:rPr>
          <w:rFonts w:ascii="times" w:eastAsia="Times New Roman" w:hAnsi="times" w:cs="Times New Roman"/>
          <w:b/>
          <w:bCs/>
          <w:color w:val="800000"/>
          <w:lang w:eastAsia="es-PE"/>
        </w:rPr>
        <w:t>Mar. 2013</w:t>
      </w:r>
    </w:p>
    <w:p w:rsidR="007D78DB" w:rsidRPr="007D78DB" w:rsidRDefault="007D78DB" w:rsidP="007D78DB">
      <w:pPr>
        <w:shd w:val="clear" w:color="auto" w:fill="FFFFFF"/>
        <w:spacing w:after="0" w:line="240" w:lineRule="auto"/>
        <w:outlineLvl w:val="3"/>
        <w:rPr>
          <w:rFonts w:ascii="Verdana" w:eastAsia="Times New Roman" w:hAnsi="Verdana" w:cs="Times New Roman"/>
          <w:color w:val="800000"/>
          <w:sz w:val="16"/>
          <w:szCs w:val="16"/>
          <w:lang w:eastAsia="es-PE"/>
        </w:rPr>
      </w:pPr>
      <w:r w:rsidRPr="007D78DB">
        <w:rPr>
          <w:rFonts w:ascii="Verdana" w:eastAsia="Times New Roman" w:hAnsi="Verdana" w:cs="Times New Roman"/>
          <w:color w:val="800000"/>
          <w:sz w:val="16"/>
          <w:szCs w:val="16"/>
          <w:lang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b/>
          <w:bCs/>
          <w:color w:val="000000"/>
          <w:sz w:val="19"/>
          <w:szCs w:val="19"/>
          <w:lang w:eastAsia="es-PE"/>
        </w:rPr>
        <w:t>Editorial</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b/>
          <w:bCs/>
          <w:color w:val="000000"/>
          <w:sz w:val="19"/>
          <w:szCs w:val="19"/>
          <w:lang w:eastAsia="es-PE"/>
        </w:rPr>
        <w:t>La promoción de la salud bucal como una estrategia para el desarrollo de la salud pública: una oportunidad para la profesión y para el país</w:t>
      </w:r>
    </w:p>
    <w:p w:rsidR="007D78DB" w:rsidRPr="007D78DB" w:rsidRDefault="007D78DB" w:rsidP="007D78DB">
      <w:pPr>
        <w:shd w:val="clear" w:color="auto" w:fill="FFFFFF"/>
        <w:spacing w:after="0" w:line="240" w:lineRule="auto"/>
        <w:rPr>
          <w:rFonts w:ascii="Verdana" w:eastAsia="Times New Roman" w:hAnsi="Verdana" w:cs="Times New Roman"/>
          <w:color w:val="000000"/>
          <w:sz w:val="20"/>
          <w:szCs w:val="20"/>
          <w:lang w:eastAsia="es-PE"/>
        </w:rPr>
      </w:pPr>
      <w:r w:rsidRPr="007D78DB">
        <w:rPr>
          <w:rFonts w:ascii="Verdana" w:eastAsia="Times New Roman" w:hAnsi="Verdana" w:cs="Times New Roman"/>
          <w:color w:val="000000"/>
          <w:sz w:val="20"/>
          <w:szCs w:val="20"/>
          <w:lang w:eastAsia="es-PE"/>
        </w:rPr>
        <w:pict>
          <v:rect id="_x0000_i1025" style="width:0;height:.75pt" o:hralign="center" o:hrstd="t" o:hr="t" fillcolor="#a0a0a0" stroked="f"/>
        </w:pic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Colombia, con 47 millones de personas, es el segundo país de Suramérica en población y el tercero de Latinoamérica, después de Brasil y México. Como país en desarrollo muestra cifras económicas crecientes, en las cuales las exportaciones alcanzarían por primera vez los US$ 60.000 millones en el 2013. Con un incremento del producto interno bruto cercano al 5 %, viene realizando cambios estructurales importantes, entre ellos en el sector de la salud, liderado por el Ministerio de la Salud y Protección Social (1).</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El país posee cifras alentadoras en la erradicación de la pobreza extrema y en la reducción del analfabetismo, que hoy afecta a menos del 5 % de la población, y presenta una creciente cobertura de cerca del 94 % en el acceso a los servicios de salud. La educación primaria gratuita y el incremento de la cobertura de los servicios de energía, agua potable, internet y telefonía, con un descenso en el desempleo al 12 %, son otros indicadores positivos. A pesar de estos importante logros, el 45 % de la población continúa siendo pobre (2), con una cifra récord de más de 3 millones de desplazados por los grupos armados al margen de la ley y con obvias barreras para acceder a las oportunidades que el Estado genera con los planes de inversión y desarrollo social (3).</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Los temas de ausencia de acceso oportuno y la baja calidad a los servicios de salud afectan el Sistema General de Seguridad Social en Salud de Colombia. Estos temas han sido objeto de debate por los usuarios, los medios de comunicación, el Congreso, las asociaciones gremiales y académicas y las empresas prestadoras de salud, mal llamadas "promotoras de la salud" o EPS.</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El Decreto Ley 1438 del 2011 busca reorientar la atención en salud hacia la atención primaria como prioridad en los prestadores de salud, con claros beneficios para las personas, puesto que genera un cambio de paradigma toda vez que el énfasis se hace en la promoción e invierte recursos en el "paciente sano"; además, establece la conformación de los equipos básicos de salud en los territorios (4). Allí, la odontología, las asociaciones odontológicas y los sectores académicos deberán hacerse presentes. Debería, al menos, haber un odontólogo, con formación en salud pública, apoyando el desarrollo de los planes decenales de salud en cada uno de los 1.101 municipios de Colombia.</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 xml:space="preserve">Actualmente, contamos con una odontología en crisis pero con inmensas oportunidades. Los odontólogos en nuestro desempeño profesional hemos sido ajenos al enfoque de la salud pública, primando lo curativo y asistencial sobre la promoción de la salud (4). Trabajamos aislados en consultorios particulares o en los servicios asistenciales para las EPS y rara vez nos integramos a las redes prestadoras de servicios de salud. Somos un grupo numeroso (cerca de 50.000 odontólogos, más un número similar de higienistas y auxiliares de salud bucal) con potencial para promover la salud bucal y la salud general, </w:t>
      </w:r>
      <w:r w:rsidRPr="007D78DB">
        <w:rPr>
          <w:rFonts w:ascii="Verdana" w:eastAsia="Times New Roman" w:hAnsi="Verdana" w:cs="Times New Roman"/>
          <w:color w:val="000000"/>
          <w:sz w:val="19"/>
          <w:szCs w:val="19"/>
          <w:lang w:eastAsia="es-PE"/>
        </w:rPr>
        <w:lastRenderedPageBreak/>
        <w:t>porque tenemos un contacto prolongado y regular con los pacientes. Ello será posible solo si participamos en el desarrollo e implementación de los planes de salud pública. Hoy estamos siendo afectados como gremio por las leyes de mercado que promovió la Ley 100. La consulta privada está desapareciendo y los nuevos odontólogos encuentran un mercado laboral saturado en las ciudades capitales, con un creciente subempleo o desempleo (5). El reto es pasar de la odontología curativa que beneficia como máximo al 10 % de la población, a una odontología que promocione la salud bucal y que incluya el cuidado de la salud general para generar mayor cobertura e impacto (6,7).</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Se requiere tener un mayor número de odontólogos con formación y conocimientos en salud pública en el país. El sector académico y gremial de la odontología debe reaccionar a las reformas que el sector de la salud viene generando y adaptar las cátedras de franja social y comunitaria, para que los odontólogos puedan hacer parte de los equipos básicos de salud a nivel nacional. Cátedras como la de atención primaria en salud y salud familiar, son de nuevo indispensables, así como educar a los nuevos profesionales para trabajar en equipos multidisciplinarios, con médicos, sociólogos, maestros, líderes comunitarios, enfermeros y nutricionistas, para promover en la población el autocuidado y los estilos de vida saludables (4,7). Los odontólogos en ejercicio pueden recibir las nuevas competencias para promover la salud en los territorios por medio de diplomados o cursos cortos de capacitación en entidades académicas de prestigio en ello, la Asociación Colombiana de Facultades de Odontología tendría la palabra.</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Las principales enfermedades bucales, como la caries dental y las periodontitis, son prevenibles. La educación y la promoción de hábitos saludables es una estrategia costo-efectiva, sobre todo si la aplicamos en los niños y jóvenes aún sanos, puesto que las estrategias de promoción y prevención son menos costosas que las de curación, rehabilitación o limitación del daño. Las escuelas y las guarderías son los ambientes ideales para impartir educación en salud general y en salud bucal a los niños, sus familias y sus maestros. Ya el Ministerio, por medio de la Subdirección de Enfermedades Crónicas, avanza en una estrategia de creación de entornos, municipios e instituciones educativas saludables en el país.</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El fomento de la salud bucal también puede emplearse como una plataforma para propender por el fomento de la salud general y puede causar un impacto en las enfermedades no transmisibles. La promoción de una adecuada alimentación, que incluya frutas, verduras y fibra, y reduzca la ingestión de sal, azúcares refinados y grasas saturadas, con el incremento en la actividad física puede generar un impacto en el riesgo cardiovascular de las poblaciones. De esta manera, no solo se reduce la prevalencia de caries sino de las enfermedades crónicas como la hipertensión arterial, la diabetes, las enfermedades cardiovasculares y la obesidad (4). Existe, también, una evidencia creciente de que las enfermedades bucales no tratadas poseen consecuencias sistémicas y agravan el curso de las enfermedades no transmisibles (6).</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En el país, la atención odontológica en los niños se inicia muy tarde para prevenir los problemas. La consulta de odontología se inicia casi siempre después de los seis años de edad y se pierde la oportunidad de afectar de manera positiva a quienes más adelante van a ser adultos jóvenes. La atención odontológica preventiva en los niños debe iniciarse desde el primer año de vida y la educación debe dirigirse a los padres y cuidadores. El Tercer Estudio Nacional de Salud Bucal (ENSAB III) encontró una elevada prevalencia de caries en la dentición primaria, 54,8 % a los cinco años y 63,8 % a los siete años, con un índice COE D de 3,0 a los cinco años (8). Los niños reciben de sus padres bebidas azucaradas (un tetero antes de dormir) y esto facilita la proliferación de microorganismos y el desarrollo de caries y gingivitis (6,8).</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lastRenderedPageBreak/>
        <w:t>En conclusión, la promoción de la salud bucal integrada a la salud general en las poblaciones es innovador. Al generar buenos hábitos de higiene, haciendo que los sujetos se responsabilicen por su autocuidado y adopten estilos saludables de vida, tenemos una oportunidad como profesión de trabajar por la salud de la gente, de integrarnos a los equipos de salud, de adquirir nuevos roles como salubristas y, quizá, de causar un impacto en las enfermedades no transmisibles.</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 xml:space="preserve">Las reformas en salud generan retos y oportunidades para las profesiones. Los odontólogos debemos participar activamente en la reforma de la salud en Colombia, en donde el énfasis en la atención pasará de lo curativo a la promoción de la salud. Esto requiere una </w:t>
      </w:r>
      <w:proofErr w:type="spellStart"/>
      <w:r w:rsidRPr="007D78DB">
        <w:rPr>
          <w:rFonts w:ascii="Verdana" w:eastAsia="Times New Roman" w:hAnsi="Verdana" w:cs="Times New Roman"/>
          <w:color w:val="000000"/>
          <w:sz w:val="19"/>
          <w:szCs w:val="19"/>
          <w:lang w:eastAsia="es-PE"/>
        </w:rPr>
        <w:t>reacomodacion</w:t>
      </w:r>
      <w:proofErr w:type="spellEnd"/>
      <w:r w:rsidRPr="007D78DB">
        <w:rPr>
          <w:rFonts w:ascii="Verdana" w:eastAsia="Times New Roman" w:hAnsi="Verdana" w:cs="Times New Roman"/>
          <w:color w:val="000000"/>
          <w:sz w:val="19"/>
          <w:szCs w:val="19"/>
          <w:lang w:eastAsia="es-PE"/>
        </w:rPr>
        <w:t xml:space="preserve"> sísmica en los currículos y el aprendizaje de nuevas competencias y actitudes en los profesionales. Tenemos una oportunidad histórica de generar un impacto en la salud bucal y en la salud general, insertándonos en los equipos básicos para la salud como lo promueve el Decreto Ley 1438.</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 xml:space="preserve">Adolfo Contreras, </w:t>
      </w:r>
      <w:proofErr w:type="spellStart"/>
      <w:r w:rsidRPr="007D78DB">
        <w:rPr>
          <w:rFonts w:ascii="Verdana" w:eastAsia="Times New Roman" w:hAnsi="Verdana" w:cs="Times New Roman"/>
          <w:color w:val="000000"/>
          <w:sz w:val="19"/>
          <w:szCs w:val="19"/>
          <w:lang w:eastAsia="es-PE"/>
        </w:rPr>
        <w:t>Ph.D</w:t>
      </w:r>
      <w:proofErr w:type="spellEnd"/>
      <w:r w:rsidRPr="007D78DB">
        <w:rPr>
          <w:rFonts w:ascii="Verdana" w:eastAsia="Times New Roman" w:hAnsi="Verdana" w:cs="Times New Roman"/>
          <w:color w:val="000000"/>
          <w:sz w:val="19"/>
          <w:szCs w:val="19"/>
          <w:lang w:eastAsia="es-PE"/>
        </w:rPr>
        <w:t>.</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Profesor titular y emérito, Escuela de Odontología; director, Centro para el Desarrollo y Evaluación de Políticas y Tecnología en Salud Pública, CEDETES, Escuela de Salud Pública, Universidad del Valle, Cali, Colombia </w:t>
      </w:r>
      <w:hyperlink r:id="rId5" w:history="1">
        <w:r w:rsidRPr="007D78DB">
          <w:rPr>
            <w:rFonts w:ascii="Verdana" w:eastAsia="Times New Roman" w:hAnsi="Verdana" w:cs="Times New Roman"/>
            <w:color w:val="0000FF"/>
            <w:sz w:val="19"/>
            <w:szCs w:val="19"/>
            <w:u w:val="single"/>
            <w:lang w:eastAsia="es-PE"/>
          </w:rPr>
          <w:t>adolfoco@yahoo.com</w:t>
        </w:r>
      </w:hyperlink>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b/>
          <w:bCs/>
          <w:color w:val="000000"/>
          <w:sz w:val="19"/>
          <w:szCs w:val="19"/>
          <w:lang w:eastAsia="es-PE"/>
        </w:rPr>
        <w:t>Bibliografía</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 xml:space="preserve">1. Departamento Administrativo Nacional de Estadística, DANE. Consolidado histórico. Resumen DIVIPOLA, 1967-2012. Fecha de </w:t>
      </w:r>
      <w:proofErr w:type="spellStart"/>
      <w:r w:rsidRPr="007D78DB">
        <w:rPr>
          <w:rFonts w:ascii="Verdana" w:eastAsia="Times New Roman" w:hAnsi="Verdana" w:cs="Times New Roman"/>
          <w:color w:val="000000"/>
          <w:sz w:val="19"/>
          <w:szCs w:val="19"/>
          <w:lang w:eastAsia="es-PE"/>
        </w:rPr>
        <w:t>conculta</w:t>
      </w:r>
      <w:proofErr w:type="spellEnd"/>
      <w:r w:rsidRPr="007D78DB">
        <w:rPr>
          <w:rFonts w:ascii="Verdana" w:eastAsia="Times New Roman" w:hAnsi="Verdana" w:cs="Times New Roman"/>
          <w:color w:val="000000"/>
          <w:sz w:val="19"/>
          <w:szCs w:val="19"/>
          <w:lang w:eastAsia="es-PE"/>
        </w:rPr>
        <w:t>: 15 de marzo de 2013. Disponible en: </w:t>
      </w:r>
      <w:hyperlink r:id="rId6" w:tgtFrame="_blank" w:history="1">
        <w:r w:rsidRPr="007D78DB">
          <w:rPr>
            <w:rFonts w:ascii="Verdana" w:eastAsia="Times New Roman" w:hAnsi="Verdana" w:cs="Times New Roman"/>
            <w:color w:val="0000FF"/>
            <w:sz w:val="19"/>
            <w:szCs w:val="19"/>
            <w:u w:val="single"/>
            <w:lang w:eastAsia="es-PE"/>
          </w:rPr>
          <w:t>http://190.25.231.237/dvpbuscar/dvpbuscar.html</w:t>
        </w:r>
      </w:hyperlink>
      <w:r w:rsidRPr="007D78DB">
        <w:rPr>
          <w:rFonts w:ascii="Verdana" w:eastAsia="Times New Roman" w:hAnsi="Verdana" w:cs="Times New Roman"/>
          <w:color w:val="000000"/>
          <w:sz w:val="19"/>
          <w:szCs w:val="19"/>
          <w:lang w:eastAsia="es-PE"/>
        </w:rPr>
        <w:t>.         [ </w:t>
      </w:r>
      <w:hyperlink r:id="rId7" w:history="1">
        <w:r w:rsidRPr="007D78DB">
          <w:rPr>
            <w:rFonts w:ascii="Verdana" w:eastAsia="Times New Roman" w:hAnsi="Verdana" w:cs="Times New Roman"/>
            <w:color w:val="0000FF"/>
            <w:sz w:val="19"/>
            <w:szCs w:val="19"/>
            <w:u w:val="single"/>
            <w:lang w:eastAsia="es-PE"/>
          </w:rPr>
          <w:t>Links</w:t>
        </w:r>
      </w:hyperlink>
      <w:r w:rsidRPr="007D78DB">
        <w:rPr>
          <w:rFonts w:ascii="Verdana" w:eastAsia="Times New Roman" w:hAnsi="Verdana" w:cs="Times New Roman"/>
          <w:color w:val="000000"/>
          <w:sz w:val="19"/>
          <w:szCs w:val="19"/>
          <w:lang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2. Departamento Administrativo Nacional de Estadística, DANE. Pobreza monetaria y multidimensional en Colombia, 2011. Boletín de Prensa 2012. Fecha de consulta: 15 de marzo de 2013. Disponible en: </w:t>
      </w:r>
      <w:hyperlink r:id="rId8" w:tgtFrame="_blank" w:history="1">
        <w:r w:rsidRPr="007D78DB">
          <w:rPr>
            <w:rFonts w:ascii="Verdana" w:eastAsia="Times New Roman" w:hAnsi="Verdana" w:cs="Times New Roman"/>
            <w:color w:val="0000FF"/>
            <w:sz w:val="19"/>
            <w:szCs w:val="19"/>
            <w:u w:val="single"/>
            <w:lang w:eastAsia="es-PE"/>
          </w:rPr>
          <w:t>http://www.dane.gov.co/files/investigaciones/condiciones_vida/pobreza/boletin_pobreza_2011.pdf</w:t>
        </w:r>
      </w:hyperlink>
      <w:r w:rsidRPr="007D78DB">
        <w:rPr>
          <w:rFonts w:ascii="Verdana" w:eastAsia="Times New Roman" w:hAnsi="Verdana" w:cs="Times New Roman"/>
          <w:color w:val="000000"/>
          <w:sz w:val="19"/>
          <w:szCs w:val="19"/>
          <w:lang w:eastAsia="es-PE"/>
        </w:rPr>
        <w:t>.         [ </w:t>
      </w:r>
      <w:hyperlink r:id="rId9" w:history="1">
        <w:r w:rsidRPr="007D78DB">
          <w:rPr>
            <w:rFonts w:ascii="Verdana" w:eastAsia="Times New Roman" w:hAnsi="Verdana" w:cs="Times New Roman"/>
            <w:color w:val="0000FF"/>
            <w:sz w:val="19"/>
            <w:szCs w:val="19"/>
            <w:u w:val="single"/>
            <w:lang w:eastAsia="es-PE"/>
          </w:rPr>
          <w:t>Links</w:t>
        </w:r>
      </w:hyperlink>
      <w:r w:rsidRPr="007D78DB">
        <w:rPr>
          <w:rFonts w:ascii="Verdana" w:eastAsia="Times New Roman" w:hAnsi="Verdana" w:cs="Times New Roman"/>
          <w:color w:val="000000"/>
          <w:sz w:val="19"/>
          <w:szCs w:val="19"/>
          <w:lang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3. Departamento para la Prosperidad Social. Desplazamiento forzado en Colombia, 2010. Fecha de consulta: 15 de marzo de 2013. Disponible en: </w:t>
      </w:r>
      <w:hyperlink r:id="rId10" w:tgtFrame="_blank" w:history="1">
        <w:r w:rsidRPr="007D78DB">
          <w:rPr>
            <w:rFonts w:ascii="Verdana" w:eastAsia="Times New Roman" w:hAnsi="Verdana" w:cs="Times New Roman"/>
            <w:color w:val="0000FF"/>
            <w:sz w:val="19"/>
            <w:szCs w:val="19"/>
            <w:u w:val="single"/>
            <w:lang w:eastAsia="es-PE"/>
          </w:rPr>
          <w:t>www.dps.gov.co/documentos/Retornos/CIDH%20Desplazamiento%20Forzado%20en%20Colombia%20Marzo%202010%20para%20Canciller%C3%ADa1.pdf</w:t>
        </w:r>
      </w:hyperlink>
      <w:r w:rsidRPr="007D78DB">
        <w:rPr>
          <w:rFonts w:ascii="Verdana" w:eastAsia="Times New Roman" w:hAnsi="Verdana" w:cs="Times New Roman"/>
          <w:color w:val="000000"/>
          <w:sz w:val="19"/>
          <w:szCs w:val="19"/>
          <w:lang w:eastAsia="es-PE"/>
        </w:rPr>
        <w:t>.         [ </w:t>
      </w:r>
      <w:hyperlink r:id="rId11" w:history="1">
        <w:r w:rsidRPr="007D78DB">
          <w:rPr>
            <w:rFonts w:ascii="Verdana" w:eastAsia="Times New Roman" w:hAnsi="Verdana" w:cs="Times New Roman"/>
            <w:color w:val="0000FF"/>
            <w:sz w:val="19"/>
            <w:szCs w:val="19"/>
            <w:u w:val="single"/>
            <w:lang w:eastAsia="es-PE"/>
          </w:rPr>
          <w:t>Links</w:t>
        </w:r>
      </w:hyperlink>
      <w:r w:rsidRPr="007D78DB">
        <w:rPr>
          <w:rFonts w:ascii="Verdana" w:eastAsia="Times New Roman" w:hAnsi="Verdana" w:cs="Times New Roman"/>
          <w:color w:val="000000"/>
          <w:sz w:val="19"/>
          <w:szCs w:val="19"/>
          <w:lang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eastAsia="es-PE"/>
        </w:rPr>
        <w:t>4. Colombia, Congreso de la República (2011, 19 de enero), "Ley 1438 de 2011 Por medio de la cual se reforma el Sistema General de Seguridad Social en Salud y se dictan otras disposiciones", en Diario Oficial núm. 47.957, 19 de enero de 2011.         [ </w:t>
      </w:r>
      <w:hyperlink r:id="rId12" w:history="1">
        <w:r w:rsidRPr="007D78DB">
          <w:rPr>
            <w:rFonts w:ascii="Verdana" w:eastAsia="Times New Roman" w:hAnsi="Verdana" w:cs="Times New Roman"/>
            <w:color w:val="0000FF"/>
            <w:sz w:val="19"/>
            <w:szCs w:val="19"/>
            <w:u w:val="single"/>
            <w:lang w:eastAsia="es-PE"/>
          </w:rPr>
          <w:t>Links</w:t>
        </w:r>
      </w:hyperlink>
      <w:r w:rsidRPr="007D78DB">
        <w:rPr>
          <w:rFonts w:ascii="Verdana" w:eastAsia="Times New Roman" w:hAnsi="Verdana" w:cs="Times New Roman"/>
          <w:color w:val="000000"/>
          <w:sz w:val="19"/>
          <w:szCs w:val="19"/>
          <w:lang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PE"/>
        </w:rPr>
      </w:pPr>
      <w:r w:rsidRPr="007D78DB">
        <w:rPr>
          <w:rFonts w:ascii="Verdana" w:eastAsia="Times New Roman" w:hAnsi="Verdana" w:cs="Times New Roman"/>
          <w:color w:val="000000"/>
          <w:sz w:val="19"/>
          <w:szCs w:val="19"/>
          <w:lang w:eastAsia="es-PE"/>
        </w:rPr>
        <w:t>5. Ministerio de la Protección Social, Pontificia Universidad Javeriana, CENDEX. Recursos Humanos de la Salud en Colombia, Balance, competencias y prospectiva. Tercera edición. Bogotá: Fundación Cultural Javeriana de Artes Gráficas, JAVEGRAF; 2009.         </w:t>
      </w:r>
      <w:proofErr w:type="gramStart"/>
      <w:r w:rsidRPr="007D78DB">
        <w:rPr>
          <w:rFonts w:ascii="Verdana" w:eastAsia="Times New Roman" w:hAnsi="Verdana" w:cs="Times New Roman"/>
          <w:color w:val="000000"/>
          <w:sz w:val="19"/>
          <w:szCs w:val="19"/>
          <w:lang w:val="en-US" w:eastAsia="es-PE"/>
        </w:rPr>
        <w:t>[ </w:t>
      </w:r>
      <w:proofErr w:type="gramEnd"/>
      <w:r w:rsidRPr="007D78DB">
        <w:rPr>
          <w:rFonts w:ascii="Verdana" w:eastAsia="Times New Roman" w:hAnsi="Verdana" w:cs="Times New Roman"/>
          <w:color w:val="000000"/>
          <w:sz w:val="19"/>
          <w:szCs w:val="19"/>
          <w:lang w:eastAsia="es-PE"/>
        </w:rPr>
        <w:fldChar w:fldCharType="begin"/>
      </w:r>
      <w:r w:rsidRPr="007D78DB">
        <w:rPr>
          <w:rFonts w:ascii="Verdana" w:eastAsia="Times New Roman" w:hAnsi="Verdana" w:cs="Times New Roman"/>
          <w:color w:val="000000"/>
          <w:sz w:val="19"/>
          <w:szCs w:val="19"/>
          <w:lang w:val="en-US" w:eastAsia="es-PE"/>
        </w:rPr>
        <w:instrText xml:space="preserve"> HYPERLINK "javascript:void(0);" </w:instrText>
      </w:r>
      <w:r w:rsidRPr="007D78DB">
        <w:rPr>
          <w:rFonts w:ascii="Verdana" w:eastAsia="Times New Roman" w:hAnsi="Verdana" w:cs="Times New Roman"/>
          <w:color w:val="000000"/>
          <w:sz w:val="19"/>
          <w:szCs w:val="19"/>
          <w:lang w:eastAsia="es-PE"/>
        </w:rPr>
        <w:fldChar w:fldCharType="separate"/>
      </w:r>
      <w:r w:rsidRPr="007D78DB">
        <w:rPr>
          <w:rFonts w:ascii="Verdana" w:eastAsia="Times New Roman" w:hAnsi="Verdana" w:cs="Times New Roman"/>
          <w:color w:val="0000FF"/>
          <w:sz w:val="19"/>
          <w:szCs w:val="19"/>
          <w:u w:val="single"/>
          <w:lang w:val="en-US" w:eastAsia="es-PE"/>
        </w:rPr>
        <w:t>Links</w:t>
      </w:r>
      <w:r w:rsidRPr="007D78DB">
        <w:rPr>
          <w:rFonts w:ascii="Verdana" w:eastAsia="Times New Roman" w:hAnsi="Verdana" w:cs="Times New Roman"/>
          <w:color w:val="000000"/>
          <w:sz w:val="19"/>
          <w:szCs w:val="19"/>
          <w:lang w:eastAsia="es-PE"/>
        </w:rPr>
        <w:fldChar w:fldCharType="end"/>
      </w:r>
      <w:r w:rsidRPr="007D78DB">
        <w:rPr>
          <w:rFonts w:ascii="Verdana" w:eastAsia="Times New Roman" w:hAnsi="Verdana" w:cs="Times New Roman"/>
          <w:color w:val="000000"/>
          <w:sz w:val="19"/>
          <w:szCs w:val="19"/>
          <w:lang w:val="en-US" w:eastAsia="es-PE"/>
        </w:rPr>
        <w:t> ]</w:t>
      </w:r>
    </w:p>
    <w:p w:rsidR="007D78DB" w:rsidRPr="007D78DB" w:rsidRDefault="007D78DB" w:rsidP="007D78DB">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PE"/>
        </w:rPr>
      </w:pPr>
      <w:r w:rsidRPr="007D78DB">
        <w:rPr>
          <w:rFonts w:ascii="Verdana" w:eastAsia="Times New Roman" w:hAnsi="Verdana" w:cs="Times New Roman"/>
          <w:color w:val="000000"/>
          <w:sz w:val="19"/>
          <w:szCs w:val="19"/>
          <w:lang w:val="en-US" w:eastAsia="es-PE"/>
        </w:rPr>
        <w:t xml:space="preserve">6. Contreras A. Compelling evidence reveals that oral chronic infection and oral inflammation generate systemic consequences. </w:t>
      </w:r>
      <w:proofErr w:type="spellStart"/>
      <w:r w:rsidRPr="007D78DB">
        <w:rPr>
          <w:rFonts w:ascii="Verdana" w:eastAsia="Times New Roman" w:hAnsi="Verdana" w:cs="Times New Roman"/>
          <w:color w:val="000000"/>
          <w:sz w:val="19"/>
          <w:szCs w:val="19"/>
          <w:lang w:val="en-US" w:eastAsia="es-PE"/>
        </w:rPr>
        <w:t>Colomb</w:t>
      </w:r>
      <w:proofErr w:type="spellEnd"/>
      <w:r w:rsidRPr="007D78DB">
        <w:rPr>
          <w:rFonts w:ascii="Verdana" w:eastAsia="Times New Roman" w:hAnsi="Verdana" w:cs="Times New Roman"/>
          <w:color w:val="000000"/>
          <w:sz w:val="19"/>
          <w:szCs w:val="19"/>
          <w:lang w:val="en-US" w:eastAsia="es-PE"/>
        </w:rPr>
        <w:t xml:space="preserve"> Med. 2011</w:t>
      </w:r>
      <w:proofErr w:type="gramStart"/>
      <w:r w:rsidRPr="007D78DB">
        <w:rPr>
          <w:rFonts w:ascii="Verdana" w:eastAsia="Times New Roman" w:hAnsi="Verdana" w:cs="Times New Roman"/>
          <w:color w:val="000000"/>
          <w:sz w:val="19"/>
          <w:szCs w:val="19"/>
          <w:lang w:val="en-US" w:eastAsia="es-PE"/>
        </w:rPr>
        <w:t>;42:416</w:t>
      </w:r>
      <w:proofErr w:type="gramEnd"/>
      <w:r w:rsidRPr="007D78DB">
        <w:rPr>
          <w:rFonts w:ascii="Verdana" w:eastAsia="Times New Roman" w:hAnsi="Verdana" w:cs="Times New Roman"/>
          <w:color w:val="000000"/>
          <w:sz w:val="19"/>
          <w:szCs w:val="19"/>
          <w:lang w:val="en-US" w:eastAsia="es-PE"/>
        </w:rPr>
        <w:t>-</w:t>
      </w:r>
    </w:p>
    <w:p w:rsidR="00C15FFB" w:rsidRDefault="007D78DB" w:rsidP="007D78DB">
      <w:pPr>
        <w:shd w:val="clear" w:color="auto" w:fill="FFFFFF"/>
        <w:spacing w:after="0" w:line="240" w:lineRule="auto"/>
        <w:jc w:val="center"/>
      </w:pPr>
      <w:r w:rsidRPr="007D78DB">
        <w:rPr>
          <w:rFonts w:ascii="Verdana" w:eastAsia="Times New Roman" w:hAnsi="Verdana" w:cs="Times New Roman"/>
          <w:b/>
          <w:bCs/>
          <w:color w:val="000080"/>
          <w:sz w:val="18"/>
          <w:szCs w:val="18"/>
          <w:lang w:eastAsia="es-PE"/>
        </w:rPr>
        <w:t>Avenida Calle 26 No. 51 - 60 Bogotá, Colombia</w:t>
      </w:r>
      <w:r w:rsidRPr="007D78DB">
        <w:rPr>
          <w:rFonts w:ascii="Verdana" w:eastAsia="Times New Roman" w:hAnsi="Verdana" w:cs="Times New Roman"/>
          <w:b/>
          <w:bCs/>
          <w:color w:val="000080"/>
          <w:sz w:val="18"/>
          <w:szCs w:val="18"/>
          <w:lang w:eastAsia="es-PE"/>
        </w:rPr>
        <w:br/>
      </w:r>
      <w:r w:rsidRPr="007D78DB">
        <w:rPr>
          <w:rFonts w:ascii="Verdana" w:eastAsia="Times New Roman" w:hAnsi="Verdana" w:cs="Times New Roman"/>
          <w:b/>
          <w:bCs/>
          <w:noProof/>
          <w:color w:val="000080"/>
          <w:sz w:val="18"/>
          <w:szCs w:val="18"/>
          <w:lang w:eastAsia="es-PE"/>
        </w:rPr>
        <w:drawing>
          <wp:inline distT="0" distB="0" distL="0" distR="0">
            <wp:extent cx="409575" cy="276225"/>
            <wp:effectExtent l="0" t="0" r="9525" b="9525"/>
            <wp:docPr id="1" name="Imagen 1" descr="http://www.scielo.org.co/img/en/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lo.org.co/img/en/e-mail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7D78DB">
        <w:rPr>
          <w:rFonts w:ascii="Verdana" w:eastAsia="Times New Roman" w:hAnsi="Verdana" w:cs="Times New Roman"/>
          <w:b/>
          <w:bCs/>
          <w:color w:val="000080"/>
          <w:sz w:val="18"/>
          <w:szCs w:val="18"/>
          <w:lang w:eastAsia="es-PE"/>
        </w:rPr>
        <w:br/>
      </w:r>
      <w:hyperlink r:id="rId14" w:history="1">
        <w:r w:rsidRPr="007D78DB">
          <w:rPr>
            <w:rFonts w:ascii="Verdana" w:eastAsia="Times New Roman" w:hAnsi="Verdana" w:cs="Times New Roman"/>
            <w:color w:val="000080"/>
            <w:sz w:val="18"/>
            <w:szCs w:val="18"/>
            <w:u w:val="single"/>
            <w:lang w:eastAsia="es-PE"/>
          </w:rPr>
          <w:t>biomedica@ins.gov.co</w:t>
        </w:r>
      </w:hyperlink>
      <w:bookmarkStart w:id="0" w:name="_GoBack"/>
      <w:bookmarkEnd w:id="0"/>
    </w:p>
    <w:sectPr w:rsidR="00C15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158A4"/>
    <w:multiLevelType w:val="multilevel"/>
    <w:tmpl w:val="B21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95A0D"/>
    <w:multiLevelType w:val="multilevel"/>
    <w:tmpl w:val="D17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0A9B"/>
    <w:multiLevelType w:val="multilevel"/>
    <w:tmpl w:val="324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370B8"/>
    <w:multiLevelType w:val="multilevel"/>
    <w:tmpl w:val="17AC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DB"/>
    <w:rsid w:val="007D78DB"/>
    <w:rsid w:val="00C15F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53AD-2594-4E34-A01A-B6E930E9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D78DB"/>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7D78D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7D78DB"/>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D78DB"/>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7D78DB"/>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7D78DB"/>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semiHidden/>
    <w:unhideWhenUsed/>
    <w:rsid w:val="007D78DB"/>
    <w:rPr>
      <w:color w:val="0000FF"/>
      <w:u w:val="single"/>
    </w:rPr>
  </w:style>
  <w:style w:type="character" w:styleId="nfasis">
    <w:name w:val="Emphasis"/>
    <w:basedOn w:val="Fuentedeprrafopredeter"/>
    <w:uiPriority w:val="20"/>
    <w:qFormat/>
    <w:rsid w:val="007D78DB"/>
    <w:rPr>
      <w:i/>
      <w:iCs/>
    </w:rPr>
  </w:style>
  <w:style w:type="paragraph" w:styleId="NormalWeb">
    <w:name w:val="Normal (Web)"/>
    <w:basedOn w:val="Normal"/>
    <w:uiPriority w:val="99"/>
    <w:semiHidden/>
    <w:unhideWhenUsed/>
    <w:rsid w:val="007D78DB"/>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54500">
      <w:bodyDiv w:val="1"/>
      <w:marLeft w:val="0"/>
      <w:marRight w:val="0"/>
      <w:marTop w:val="0"/>
      <w:marBottom w:val="0"/>
      <w:divBdr>
        <w:top w:val="none" w:sz="0" w:space="0" w:color="auto"/>
        <w:left w:val="none" w:sz="0" w:space="0" w:color="auto"/>
        <w:bottom w:val="none" w:sz="0" w:space="0" w:color="auto"/>
        <w:right w:val="none" w:sz="0" w:space="0" w:color="auto"/>
      </w:divBdr>
      <w:divsChild>
        <w:div w:id="1481727935">
          <w:marLeft w:val="0"/>
          <w:marRight w:val="0"/>
          <w:marTop w:val="0"/>
          <w:marBottom w:val="0"/>
          <w:divBdr>
            <w:top w:val="none" w:sz="0" w:space="0" w:color="auto"/>
            <w:left w:val="none" w:sz="0" w:space="0" w:color="auto"/>
            <w:bottom w:val="single" w:sz="6" w:space="15" w:color="8D8D8D"/>
            <w:right w:val="none" w:sz="0" w:space="0" w:color="auto"/>
          </w:divBdr>
          <w:divsChild>
            <w:div w:id="8142364">
              <w:marLeft w:val="0"/>
              <w:marRight w:val="0"/>
              <w:marTop w:val="0"/>
              <w:marBottom w:val="0"/>
              <w:divBdr>
                <w:top w:val="none" w:sz="0" w:space="0" w:color="auto"/>
                <w:left w:val="none" w:sz="0" w:space="0" w:color="auto"/>
                <w:bottom w:val="none" w:sz="0" w:space="0" w:color="auto"/>
                <w:right w:val="none" w:sz="0" w:space="0" w:color="auto"/>
              </w:divBdr>
              <w:divsChild>
                <w:div w:id="1639411890">
                  <w:marLeft w:val="300"/>
                  <w:marRight w:val="0"/>
                  <w:marTop w:val="0"/>
                  <w:marBottom w:val="150"/>
                  <w:divBdr>
                    <w:top w:val="single" w:sz="6" w:space="6" w:color="CCCCCC"/>
                    <w:left w:val="single" w:sz="6" w:space="6" w:color="CCCCCC"/>
                    <w:bottom w:val="single" w:sz="6" w:space="6" w:color="CCCCCC"/>
                    <w:right w:val="single" w:sz="6" w:space="6" w:color="CCCCCC"/>
                  </w:divBdr>
                  <w:divsChild>
                    <w:div w:id="1748921773">
                      <w:marLeft w:val="0"/>
                      <w:marRight w:val="0"/>
                      <w:marTop w:val="0"/>
                      <w:marBottom w:val="0"/>
                      <w:divBdr>
                        <w:top w:val="none" w:sz="0" w:space="0" w:color="auto"/>
                        <w:left w:val="none" w:sz="0" w:space="0" w:color="auto"/>
                        <w:bottom w:val="single" w:sz="6" w:space="0" w:color="CCCCCC"/>
                        <w:right w:val="none" w:sz="0" w:space="0" w:color="auto"/>
                      </w:divBdr>
                    </w:div>
                    <w:div w:id="351885829">
                      <w:marLeft w:val="0"/>
                      <w:marRight w:val="0"/>
                      <w:marTop w:val="0"/>
                      <w:marBottom w:val="0"/>
                      <w:divBdr>
                        <w:top w:val="none" w:sz="0" w:space="0" w:color="auto"/>
                        <w:left w:val="none" w:sz="0" w:space="0" w:color="auto"/>
                        <w:bottom w:val="none" w:sz="0" w:space="0" w:color="auto"/>
                        <w:right w:val="none" w:sz="0" w:space="0" w:color="auto"/>
                      </w:divBdr>
                    </w:div>
                    <w:div w:id="398404885">
                      <w:marLeft w:val="0"/>
                      <w:marRight w:val="0"/>
                      <w:marTop w:val="0"/>
                      <w:marBottom w:val="0"/>
                      <w:divBdr>
                        <w:top w:val="none" w:sz="0" w:space="0" w:color="auto"/>
                        <w:left w:val="none" w:sz="0" w:space="0" w:color="auto"/>
                        <w:bottom w:val="single" w:sz="6" w:space="0" w:color="CCCCCC"/>
                        <w:right w:val="none" w:sz="0" w:space="0" w:color="auto"/>
                      </w:divBdr>
                    </w:div>
                    <w:div w:id="1555695097">
                      <w:marLeft w:val="0"/>
                      <w:marRight w:val="0"/>
                      <w:marTop w:val="0"/>
                      <w:marBottom w:val="0"/>
                      <w:divBdr>
                        <w:top w:val="none" w:sz="0" w:space="0" w:color="auto"/>
                        <w:left w:val="none" w:sz="0" w:space="0" w:color="auto"/>
                        <w:bottom w:val="none" w:sz="0" w:space="0" w:color="auto"/>
                        <w:right w:val="none" w:sz="0" w:space="0" w:color="auto"/>
                      </w:divBdr>
                    </w:div>
                    <w:div w:id="1008369173">
                      <w:marLeft w:val="0"/>
                      <w:marRight w:val="0"/>
                      <w:marTop w:val="0"/>
                      <w:marBottom w:val="0"/>
                      <w:divBdr>
                        <w:top w:val="none" w:sz="0" w:space="0" w:color="auto"/>
                        <w:left w:val="none" w:sz="0" w:space="0" w:color="auto"/>
                        <w:bottom w:val="single" w:sz="6" w:space="0" w:color="CCCCCC"/>
                        <w:right w:val="none" w:sz="0" w:space="0" w:color="auto"/>
                      </w:divBdr>
                    </w:div>
                    <w:div w:id="118836733">
                      <w:marLeft w:val="0"/>
                      <w:marRight w:val="0"/>
                      <w:marTop w:val="0"/>
                      <w:marBottom w:val="0"/>
                      <w:divBdr>
                        <w:top w:val="none" w:sz="0" w:space="0" w:color="auto"/>
                        <w:left w:val="none" w:sz="0" w:space="0" w:color="auto"/>
                        <w:bottom w:val="single" w:sz="6" w:space="0" w:color="CCCCCC"/>
                        <w:right w:val="none" w:sz="0" w:space="0" w:color="auto"/>
                      </w:divBdr>
                    </w:div>
                    <w:div w:id="667707930">
                      <w:marLeft w:val="0"/>
                      <w:marRight w:val="0"/>
                      <w:marTop w:val="0"/>
                      <w:marBottom w:val="0"/>
                      <w:divBdr>
                        <w:top w:val="none" w:sz="0" w:space="0" w:color="auto"/>
                        <w:left w:val="none" w:sz="0" w:space="0" w:color="auto"/>
                        <w:bottom w:val="none" w:sz="0" w:space="0" w:color="auto"/>
                        <w:right w:val="none" w:sz="0" w:space="0" w:color="auto"/>
                      </w:divBdr>
                      <w:divsChild>
                        <w:div w:id="104618491">
                          <w:marLeft w:val="0"/>
                          <w:marRight w:val="0"/>
                          <w:marTop w:val="0"/>
                          <w:marBottom w:val="0"/>
                          <w:divBdr>
                            <w:top w:val="none" w:sz="0" w:space="0" w:color="auto"/>
                            <w:left w:val="none" w:sz="0" w:space="0" w:color="auto"/>
                            <w:bottom w:val="none" w:sz="0" w:space="0" w:color="auto"/>
                            <w:right w:val="none" w:sz="0" w:space="0" w:color="auto"/>
                          </w:divBdr>
                        </w:div>
                        <w:div w:id="117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e.gov.co/files/investigaciones/condiciones_vida/pobreza/boletin_pobreza_2011.pdf"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90.25.231.237/dvpbuscar/dvpbuscar.html" TargetMode="External"/><Relationship Id="rId11" Type="http://schemas.openxmlformats.org/officeDocument/2006/relationships/hyperlink" Target="javascript:void(0);" TargetMode="External"/><Relationship Id="rId5" Type="http://schemas.openxmlformats.org/officeDocument/2006/relationships/hyperlink" Target="mailto:adolfoco@yahoo.com" TargetMode="External"/><Relationship Id="rId15" Type="http://schemas.openxmlformats.org/officeDocument/2006/relationships/fontTable" Target="fontTable.xml"/><Relationship Id="rId10" Type="http://schemas.openxmlformats.org/officeDocument/2006/relationships/hyperlink" Target="http://www.dps.gov.co/documentos/Retornos/CIDH%20Desplazamiento%20Forzado%20en%20Colombia%20Marzo%202010%20para%20Canciller%C3%ADa1.pdf"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mailto:biomedica@in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Christiam</dc:creator>
  <cp:keywords/>
  <dc:description/>
  <cp:lastModifiedBy>Christiam</cp:lastModifiedBy>
  <cp:revision>1</cp:revision>
  <dcterms:created xsi:type="dcterms:W3CDTF">2018-06-21T07:23:00Z</dcterms:created>
  <dcterms:modified xsi:type="dcterms:W3CDTF">2018-06-21T07:25:00Z</dcterms:modified>
</cp:coreProperties>
</file>