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E" w:rsidRDefault="00F7116E" w:rsidP="00F7116E">
      <w:pPr>
        <w:pStyle w:val="Prrafodelista"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F7116E">
      <w:pPr>
        <w:pStyle w:val="Prrafodelista"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F7116E">
      <w:pPr>
        <w:pStyle w:val="Prrafodelista"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F7116E">
      <w:pPr>
        <w:pStyle w:val="Prrafodelista"/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Pr="00C75866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ESCULA DE POSGRADO</w:t>
      </w:r>
    </w:p>
    <w:p w:rsidR="00F7116E" w:rsidRPr="00C75866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Pr="00C75866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MAESTRIA EN GESTION Y CONTROL GUBERNAMENTAL</w:t>
      </w: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ind w:left="1843" w:hanging="112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ind w:left="2268" w:hanging="1559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ind w:left="2268" w:hanging="155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CURSO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70B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 PROCESOS</w:t>
      </w:r>
      <w:r w:rsidR="001C0C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AUDITORIA GUBERNAMENTAL</w:t>
      </w: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PROFESOR</w:t>
      </w: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DR. CPCC. Durand Saavedra, Demetrio Pedro</w:t>
      </w: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ALUMNO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: GARCIA CESPDES CESAR AUGUSTO</w:t>
      </w: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TEMA</w:t>
      </w:r>
      <w:r w:rsidRPr="00C7586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:</w:t>
      </w:r>
      <w:r w:rsidR="005E1B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SERVICIO 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1B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CONTROL SIMULTANEO</w:t>
      </w: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F7116E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F7116E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F7116E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F7116E" w:rsidRPr="00C75866" w:rsidRDefault="00F7116E" w:rsidP="00AD56B8">
      <w:pPr>
        <w:pStyle w:val="Prrafodelista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C7586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Lima – Perú</w:t>
      </w:r>
    </w:p>
    <w:p w:rsidR="00F7116E" w:rsidRDefault="00F7116E" w:rsidP="00AD56B8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16E" w:rsidRDefault="00F7116E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16E" w:rsidRDefault="00F7116E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16E" w:rsidRDefault="00F7116E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16E" w:rsidRDefault="00F7116E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043012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56D7" w:rsidRDefault="00BD56D7">
          <w:pPr>
            <w:pStyle w:val="TtuloTDC"/>
          </w:pPr>
          <w:r>
            <w:rPr>
              <w:lang w:val="es-ES"/>
            </w:rPr>
            <w:t>Contenido</w:t>
          </w:r>
        </w:p>
        <w:p w:rsidR="007748D3" w:rsidRDefault="00BD56D7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669523" w:history="1">
            <w:r w:rsidR="007748D3" w:rsidRPr="00871B13">
              <w:rPr>
                <w:rStyle w:val="Hipervnculo"/>
                <w:noProof/>
                <w:shd w:val="clear" w:color="auto" w:fill="FFFFFF"/>
              </w:rPr>
              <w:t>INTRODUCCIÓN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_Toc505669523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3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4" w:history="1">
            <w:r w:rsidR="007748D3" w:rsidRPr="00871B13">
              <w:rPr>
                <w:rStyle w:val="Hipervnculo"/>
                <w:noProof/>
              </w:rPr>
              <w:t>SERVICIOS DE CONTROL SIMULTÁNEO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_Toc505669524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4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5" w:history="1">
            <w:r w:rsidR="007748D3" w:rsidRPr="00871B13">
              <w:rPr>
                <w:rStyle w:val="Hipervnculo"/>
                <w:noProof/>
              </w:rPr>
              <w:t>I MODALIDADES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_Toc505669525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5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6" w:history="1">
            <w:r w:rsidR="007748D3" w:rsidRPr="00871B13">
              <w:rPr>
                <w:rStyle w:val="Hipervnculo"/>
                <w:noProof/>
              </w:rPr>
              <w:t>1. Acción Simultánea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_Toc505669526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5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7" w:history="1">
            <w:r w:rsidR="007748D3" w:rsidRPr="00871B13">
              <w:rPr>
                <w:rStyle w:val="Hipervnculo"/>
                <w:noProof/>
              </w:rPr>
              <w:t>2.​ Orientación de Oficio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_Toc505669527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5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8" w:history="1">
            <w:r w:rsidR="007748D3" w:rsidRPr="00871B13">
              <w:rPr>
                <w:rStyle w:val="Hipervnculo"/>
                <w:noProof/>
              </w:rPr>
              <w:t>3. Visita de Control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_Toc505669528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6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29" w:history="1">
            <w:r w:rsidR="007748D3" w:rsidRPr="00871B13">
              <w:rPr>
                <w:rStyle w:val="Hipervnculo"/>
                <w:noProof/>
              </w:rPr>
              <w:t>4. Visita Preventiva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_Toc505669529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6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0" w:history="1">
            <w:r w:rsidR="007748D3" w:rsidRPr="00871B13">
              <w:rPr>
                <w:rStyle w:val="Hipervnculo"/>
                <w:noProof/>
              </w:rPr>
              <w:t>II OPERATIVO DE CONTROL SIMULTÁNEO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_Toc505669530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7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1" w:history="1">
            <w:r w:rsidR="007748D3" w:rsidRPr="00871B13">
              <w:rPr>
                <w:rStyle w:val="Hipervnculo"/>
                <w:noProof/>
              </w:rPr>
              <w:t>III ESTADO DE LOS RIESGOS DEL INFORME DE CONTROL SIMULTANEO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_Toc505669531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7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2" w:history="1">
            <w:r w:rsidR="007748D3" w:rsidRPr="00871B13">
              <w:rPr>
                <w:rStyle w:val="Hipervnculo"/>
                <w:noProof/>
              </w:rPr>
              <w:t>IV.  ESTADO DE LAS RECOMENDACIONES DEL INFORME DEL OPERATIVO DE CONTROL SIMULTÁNEO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_Toc505669532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8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3" w:history="1">
            <w:r w:rsidR="007748D3" w:rsidRPr="00871B13">
              <w:rPr>
                <w:rStyle w:val="Hipervnculo"/>
                <w:noProof/>
              </w:rPr>
              <w:t>V. SEGUIMIENTO Y EVALUACIÓN DE LOS RESULTADOS DEL SERVICIO DE CONTROL SIMULTÁNEO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_Toc505669533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9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4" w:history="1">
            <w:r w:rsidR="007748D3" w:rsidRPr="00871B13">
              <w:rPr>
                <w:rStyle w:val="Hipervnculo"/>
                <w:noProof/>
              </w:rPr>
              <w:t>VI.  DIFUSIÓN DE RESULTADOS DEL CONTROL SIMULTÁNEO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_Toc505669534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11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5" w:history="1">
            <w:r w:rsidR="007748D3" w:rsidRPr="00871B13">
              <w:rPr>
                <w:rStyle w:val="Hipervnculo"/>
                <w:noProof/>
              </w:rPr>
              <w:t>VII CONCLUSIONES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_Toc505669535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12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7748D3" w:rsidRDefault="000771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PE"/>
            </w:rPr>
          </w:pPr>
          <w:hyperlink w:anchor="_Toc505669536" w:history="1">
            <w:r w:rsidR="007748D3" w:rsidRPr="00871B13">
              <w:rPr>
                <w:rStyle w:val="Hipervnculo"/>
                <w:noProof/>
              </w:rPr>
              <w:t>VII BIBLIOGRAFIA</w:t>
            </w:r>
            <w:r w:rsidR="007748D3">
              <w:rPr>
                <w:noProof/>
                <w:webHidden/>
              </w:rPr>
              <w:tab/>
            </w:r>
            <w:r w:rsidR="007748D3">
              <w:rPr>
                <w:noProof/>
                <w:webHidden/>
              </w:rPr>
              <w:fldChar w:fldCharType="begin"/>
            </w:r>
            <w:r w:rsidR="007748D3">
              <w:rPr>
                <w:noProof/>
                <w:webHidden/>
              </w:rPr>
              <w:instrText xml:space="preserve"> PAGEREF _Toc505669536 \h </w:instrText>
            </w:r>
            <w:r w:rsidR="007748D3">
              <w:rPr>
                <w:noProof/>
                <w:webHidden/>
              </w:rPr>
            </w:r>
            <w:r w:rsidR="007748D3">
              <w:rPr>
                <w:noProof/>
                <w:webHidden/>
              </w:rPr>
              <w:fldChar w:fldCharType="separate"/>
            </w:r>
            <w:r w:rsidR="007748D3">
              <w:rPr>
                <w:noProof/>
                <w:webHidden/>
              </w:rPr>
              <w:t>13</w:t>
            </w:r>
            <w:r w:rsidR="007748D3">
              <w:rPr>
                <w:noProof/>
                <w:webHidden/>
              </w:rPr>
              <w:fldChar w:fldCharType="end"/>
            </w:r>
          </w:hyperlink>
        </w:p>
        <w:p w:rsidR="00BD56D7" w:rsidRDefault="00BD56D7">
          <w:r>
            <w:rPr>
              <w:b/>
              <w:bCs/>
              <w:lang w:val="es-ES"/>
            </w:rPr>
            <w:fldChar w:fldCharType="end"/>
          </w:r>
        </w:p>
      </w:sdtContent>
    </w:sdt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B8" w:rsidRDefault="00AD56B8" w:rsidP="00AD56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41B" w:rsidRDefault="00F7116E" w:rsidP="00BD56D7">
      <w:pPr>
        <w:pStyle w:val="Ttulo1"/>
        <w:rPr>
          <w:shd w:val="clear" w:color="auto" w:fill="FFFFFF"/>
        </w:rPr>
      </w:pPr>
      <w:bookmarkStart w:id="0" w:name="_Toc505669523"/>
      <w:r w:rsidRPr="00C352E9">
        <w:rPr>
          <w:shd w:val="clear" w:color="auto" w:fill="FFFFFF"/>
        </w:rPr>
        <w:t>INTRODUCCIÓN</w:t>
      </w:r>
      <w:bookmarkEnd w:id="0"/>
    </w:p>
    <w:p w:rsidR="0028341B" w:rsidRDefault="0028341B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34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23 de julio del 2002,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promulgo </w:t>
      </w:r>
      <w:r w:rsidRPr="002834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Ley Orgánica del Sistema Nacional de Control y de la Contraloría General de la República, Ley Nº 27785, la cual otorga mayores atribuciones a la Contraloría General, ente técnico rector del Sistema, entre otras novedades. </w:t>
      </w:r>
    </w:p>
    <w:p w:rsidR="00C352E9" w:rsidRPr="00C352E9" w:rsidRDefault="0028341B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</w:t>
      </w:r>
      <w:r w:rsidR="00D70B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dichas atribuciones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Contraloría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General,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stablece los lineamientos, disposiciones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procedimientos técnicos correspondientes a su proceso,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función a la naturaleza y/o especialización de dichas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entidades, las modalidades de control aplicables y los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objetivos trazados para su ejecución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352E9" w:rsidRPr="00C352E9" w:rsidRDefault="0028341B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por ello, que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mediante </w:t>
      </w:r>
      <w:bookmarkStart w:id="1" w:name="_Hlk505626751"/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Resolución de Contraloría Nº 156-2015-CG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aprobó la versión actualizada de la Directiva Nº 006-2014-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CG/APROD “Ejercicio del Control Simultáneo”</w:t>
      </w:r>
      <w:bookmarkEnd w:id="1"/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que regula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servicio de control simultáneo a cargo de la Contraloría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General de la República y de los Órganos de Control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Institucional en las entidades sujetas al ámbito del Sistema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Nacional de Control, a través de las modalidades de acción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simultánea, orientación de oficio y visita de control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9487A" w:rsidRDefault="0028341B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este contexto l</w:t>
      </w:r>
      <w:r w:rsidRPr="002834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Contraloría General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viene </w:t>
      </w:r>
      <w:r w:rsidRPr="002834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permanente optimización de los mecanismos de control gubernamental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B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esa línea de acción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contraloría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 identificado la necesidad de incorporar la modalidad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denominada visita preventiva, </w:t>
      </w:r>
      <w:r w:rsidR="000948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ello aprobó la </w:t>
      </w:r>
      <w:r w:rsidR="0009487A" w:rsidRPr="000948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Directiva denominada “Control Simultáneo”, recomendado dejar sin efecto la Resolución de Contraloría Nº 156-2015-CG que aprobó la versión actualizada de la Directiva Nº 006-2014-CG/APROD;</w:t>
      </w:r>
      <w:r w:rsidR="000948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dirigida a verificar una o más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actividades vinculadas a la prestación de servicios públicos, así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los servicios al ciudadano, con el propósito de comprobar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la prestación se realice conforme a la normativa aplicable,</w:t>
      </w:r>
      <w:r w:rsid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disposiciones internas y estipulaciones contractuales</w:t>
      </w:r>
      <w:r w:rsidR="000948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352E9" w:rsidRDefault="003811E9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el presente trabajo analizaremos cada una de </w:t>
      </w:r>
      <w:r w:rsidR="008C4B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 modalidades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del Control </w:t>
      </w:r>
      <w:r w:rsidR="008C4B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imultaneo, sus</w:t>
      </w:r>
      <w:r w:rsidR="00C352E9" w:rsidRPr="00C352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11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Definici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ones de cada ellas, así como la etapas y plazos para su aplicación.</w:t>
      </w:r>
    </w:p>
    <w:p w:rsidR="00C352E9" w:rsidRPr="00C352E9" w:rsidRDefault="00C352E9" w:rsidP="00AD56B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116E" w:rsidRDefault="00F7116E" w:rsidP="008C4BAA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418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919E9" w:rsidRPr="000F6C89" w:rsidRDefault="008919E9" w:rsidP="00BD56D7">
      <w:pPr>
        <w:pStyle w:val="Ttulo1"/>
      </w:pPr>
      <w:bookmarkStart w:id="2" w:name="_Toc505669524"/>
      <w:r w:rsidRPr="000F6C89">
        <w:t>SERVICIOS DE CONTROL SIMULTÁNEO</w:t>
      </w:r>
      <w:bookmarkEnd w:id="2"/>
    </w:p>
    <w:p w:rsidR="000F6C89" w:rsidRDefault="000F6C8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El Control Simultáneo es una modalidad del control gubernamental que se desarrolla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en el momento en que están sucediendo las actividades de las entidades públicas para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 prestación de los servicios al ciudadano, de tal forma que la gestión pueda adoptar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las acciones para mitigar los riesgos detectados.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De esta forma el control gubernamental contribuye oportunamente a que los gestores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puedan administrar los riesgos inherentes a las actividades y proyectos en favor de la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ciudadanía, sin que su labor interfiera con las acciones propias de la gestión.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Dada la importancia del servicio y que en muchos sectores, los servicios que están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en contacto directo con el beneficiario están dispersos geográficamente, se puede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identificar la necesidad que el ejercicio del control sea a nivel masivo requiriéndose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 acciones inopinadas masivas donde participa personal de las diferentes Unidades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Orgánicas de la Contraloría General.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Son realizados por la Contraloría General y los Órganos de Control Institucional a la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actividad o actividades de un proceso en curso de la entidad sujeta a control, con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el objeto de alertar oportunamente al Titular de la entidad sobre la existencia 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hechos que ponen en riesgo el resultado o el logro de sus objetivos, a fin de promover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 adopción de las medidas preventivas pertinentes que contribuyan a mitigar y, 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ser el caso, a superar el riesgo identificado.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El ejercicio del control simultáneo: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•</w:t>
      </w:r>
      <w:r w:rsidRPr="000F6C89">
        <w:rPr>
          <w:rFonts w:ascii="Arial" w:hAnsi="Arial" w:cs="Arial"/>
          <w:sz w:val="24"/>
          <w:szCs w:val="24"/>
        </w:rPr>
        <w:tab/>
        <w:t xml:space="preserve"> No supone la conformidad de los actos de gestión de la entidad.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•</w:t>
      </w:r>
      <w:r w:rsidRPr="000F6C89">
        <w:rPr>
          <w:rFonts w:ascii="Arial" w:hAnsi="Arial" w:cs="Arial"/>
          <w:sz w:val="24"/>
          <w:szCs w:val="24"/>
        </w:rPr>
        <w:tab/>
        <w:t xml:space="preserve"> No limita el ejercicio del control posterior.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lastRenderedPageBreak/>
        <w:t>•</w:t>
      </w:r>
      <w:r w:rsidRPr="000F6C89">
        <w:rPr>
          <w:rFonts w:ascii="Arial" w:hAnsi="Arial" w:cs="Arial"/>
          <w:sz w:val="24"/>
          <w:szCs w:val="24"/>
        </w:rPr>
        <w:tab/>
        <w:t xml:space="preserve"> No conlleva a la injerencia en los procesos de dirección y gerencia a cargo 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 administración de la entidad.</w:t>
      </w:r>
    </w:p>
    <w:p w:rsidR="008C4BAA" w:rsidRDefault="008C4BAA" w:rsidP="00BD56D7">
      <w:pPr>
        <w:pStyle w:val="Ttulo2"/>
      </w:pPr>
    </w:p>
    <w:p w:rsidR="008919E9" w:rsidRPr="000F6C89" w:rsidRDefault="004D1AF1" w:rsidP="00BD56D7">
      <w:pPr>
        <w:pStyle w:val="Ttulo2"/>
      </w:pPr>
      <w:bookmarkStart w:id="3" w:name="_Toc505669525"/>
      <w:r>
        <w:t xml:space="preserve">I </w:t>
      </w:r>
      <w:r w:rsidR="000F6C89" w:rsidRPr="000F6C89">
        <w:t>MODALIDADES</w:t>
      </w:r>
      <w:bookmarkEnd w:id="3"/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Las modalidades del servicio de control simultáneo son: Acción Simultánea,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Visita de Control y Orientación de Oficio.</w:t>
      </w:r>
    </w:p>
    <w:p w:rsidR="008919E9" w:rsidRPr="000F6C89" w:rsidRDefault="008919E9" w:rsidP="00BD56D7">
      <w:pPr>
        <w:pStyle w:val="Ttulo3"/>
      </w:pPr>
      <w:bookmarkStart w:id="4" w:name="_Toc505669526"/>
      <w:r w:rsidRPr="000F6C89">
        <w:t>1. Acción Simultánea</w:t>
      </w:r>
      <w:bookmarkEnd w:id="4"/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Consiste en evaluar el desarrollo de una o más actividades en ejecución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 un proceso en curso, verificando y revisando documental y físicamente que se realice conforme a la normativa aplicable, disposiciones internas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y estipulaciones contractuales.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Etapas: planificación, ejecución y elaboración del informe.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Plazo: máximo 20 días hábiles, excepcionalmente y por la naturaleza 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las actividades materia de revisión, al efectuar el planeamiento puede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autorizarse mayores plazos.</w:t>
      </w:r>
    </w:p>
    <w:p w:rsidR="008919E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Resultado: Informe de Acción Simultánea remitido a la entidad a través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del cual se comunica al Titular de la entidad los riesgos identificados por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el equipo a cargo.</w:t>
      </w:r>
    </w:p>
    <w:p w:rsidR="003811E9" w:rsidRPr="000F6C89" w:rsidRDefault="008919E9" w:rsidP="00BD56D7">
      <w:pPr>
        <w:pStyle w:val="Ttulo3"/>
      </w:pPr>
      <w:bookmarkStart w:id="5" w:name="_Toc505669527"/>
      <w:r w:rsidRPr="000F6C89">
        <w:t>2.​</w:t>
      </w:r>
      <w:r w:rsidR="003811E9" w:rsidRPr="003811E9">
        <w:t xml:space="preserve"> </w:t>
      </w:r>
      <w:r w:rsidR="003811E9" w:rsidRPr="000F6C89">
        <w:t>Orientación de Oficio</w:t>
      </w:r>
      <w:bookmarkEnd w:id="5"/>
    </w:p>
    <w:p w:rsidR="003811E9" w:rsidRPr="000F6C89" w:rsidRDefault="003811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Se ejerce cuando se toma conocimiento de la presencia de situaciones que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puedan conllevar a la gestión a incurrir en errores, omisiones o incumplimientos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en el desarrollo de una o más actividades de un proceso. Como resultado, se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emite un oficio u otro documento a través del cual se comunica al Titular de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la entidad los riesgos identificados por los analistas a cargo.</w:t>
      </w:r>
    </w:p>
    <w:p w:rsidR="003811E9" w:rsidRPr="000F6C89" w:rsidRDefault="003811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No tiene un plazo establecido.</w:t>
      </w:r>
    </w:p>
    <w:p w:rsidR="003811E9" w:rsidRPr="000F6C89" w:rsidRDefault="003811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Seguimiento y evaluación de las acciones realizadas por la entidad</w:t>
      </w:r>
    </w:p>
    <w:p w:rsidR="003811E9" w:rsidRPr="000F6C89" w:rsidRDefault="003811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El Órgano de Control Institucional que realizó el servicio de control o el OCI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designado por la Contraloría General es responsable de efectuar el seguimiento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lastRenderedPageBreak/>
        <w:t>y evaluación de las acciones realizadas por la entidad, respecto a los riesgos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comunicados mediante Informe de Acción Simultánea y Visita de Control.</w:t>
      </w:r>
    </w:p>
    <w:p w:rsidR="008919E9" w:rsidRPr="000F6C89" w:rsidRDefault="00EF15C4" w:rsidP="00BD56D7">
      <w:pPr>
        <w:pStyle w:val="Ttulo3"/>
      </w:pPr>
      <w:bookmarkStart w:id="6" w:name="_Toc505669528"/>
      <w:r>
        <w:t xml:space="preserve">3. </w:t>
      </w:r>
      <w:r w:rsidR="008919E9" w:rsidRPr="000F6C89">
        <w:t>Visita de Control</w:t>
      </w:r>
      <w:bookmarkEnd w:id="6"/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Esta modalidad se orienta a la calidad del servicio que está recibiendo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el ciudadano en el contexto de la normativa y contratos suscritos con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proveedores u otros, coadyuvando a que se reciban servicios con los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estándares de calidad de satisfacción del ciudadano y cumpliendo la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normativa aplicable.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Consiste en presenciar actos o hechos en curso relacionados con la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entrega de bienes y servicios públicos a los ciudadanos, así como con el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estado y mantenimiento de la infraestructura pública, y constatar que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su ejecución se realice conforme a la normativa aplicable, disposiciones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internas y estipulaciones contractuales. En estas visitas se interactúa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muchas veces con los ciudadanos que reciben los servicios de la Entidad,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pudiéndose conocer, de primera mano, el grado de satisfacción de los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servicios recibidos, así como de los riesgos que requieren acción de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mitigación de la entidad. Como resultado, se emite el Informe de Visita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 Control a través del cual se comunica al Titular de la entidad los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riesgos identificados por el equipo a cargo.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Etapas: planificación, ejecución y elaboración del informe.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7" w:name="_Hlk505498425"/>
      <w:r w:rsidRPr="000F6C89">
        <w:rPr>
          <w:rFonts w:ascii="Arial" w:hAnsi="Arial" w:cs="Arial"/>
          <w:sz w:val="24"/>
          <w:szCs w:val="24"/>
        </w:rPr>
        <w:t>Plazo: máximo 7 días hábiles.</w:t>
      </w:r>
    </w:p>
    <w:p w:rsidR="008919E9" w:rsidRPr="000F6C89" w:rsidRDefault="008919E9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Resultado: Informe de Visita de Control remitido a la entidad a través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del cual se comunica al Titular de la entidad los riesgos identificados por</w:t>
      </w:r>
      <w:r w:rsidR="000F6C89"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el equipo a cargo.</w:t>
      </w:r>
    </w:p>
    <w:p w:rsidR="00353300" w:rsidRPr="005311C4" w:rsidRDefault="005311C4" w:rsidP="00BD56D7">
      <w:pPr>
        <w:pStyle w:val="Ttulo3"/>
      </w:pPr>
      <w:bookmarkStart w:id="8" w:name="_Toc505669529"/>
      <w:bookmarkEnd w:id="7"/>
      <w:r w:rsidRPr="005311C4">
        <w:t xml:space="preserve">4. </w:t>
      </w:r>
      <w:r w:rsidR="00353300" w:rsidRPr="005311C4">
        <w:t>Visita Preventiva</w:t>
      </w:r>
      <w:bookmarkEnd w:id="8"/>
    </w:p>
    <w:p w:rsidR="00353300" w:rsidRPr="00353300" w:rsidRDefault="0035330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300">
        <w:rPr>
          <w:rFonts w:ascii="Arial" w:hAnsi="Arial" w:cs="Arial"/>
          <w:sz w:val="24"/>
          <w:szCs w:val="24"/>
        </w:rPr>
        <w:t>Es una modalidad del servicio de control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simultáneo que consiste en verificar una o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más actividades vinculadas a la prestación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de servicios públicos, así como los servicios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al ciudadano, que las entidades tienen a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su cargo en el marco de sus competencias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funcionales, con el propósito de comprobar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que la prestación se realice conforme a la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normativa aplicable, disposiciones internas y</w:t>
      </w:r>
      <w:r w:rsidR="005311C4">
        <w:rPr>
          <w:rFonts w:ascii="Arial" w:hAnsi="Arial" w:cs="Arial"/>
          <w:sz w:val="24"/>
          <w:szCs w:val="24"/>
        </w:rPr>
        <w:t xml:space="preserve"> </w:t>
      </w:r>
      <w:r w:rsidRPr="00353300">
        <w:rPr>
          <w:rFonts w:ascii="Arial" w:hAnsi="Arial" w:cs="Arial"/>
          <w:sz w:val="24"/>
          <w:szCs w:val="24"/>
        </w:rPr>
        <w:t>estipulaciones contractuales.</w:t>
      </w:r>
    </w:p>
    <w:p w:rsidR="00353300" w:rsidRPr="00353300" w:rsidRDefault="0035330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300">
        <w:rPr>
          <w:rFonts w:ascii="Arial" w:hAnsi="Arial" w:cs="Arial"/>
          <w:sz w:val="24"/>
          <w:szCs w:val="24"/>
        </w:rPr>
        <w:t>Etapas</w:t>
      </w:r>
      <w:r w:rsidR="00EF15C4">
        <w:rPr>
          <w:rFonts w:ascii="Arial" w:hAnsi="Arial" w:cs="Arial"/>
          <w:sz w:val="24"/>
          <w:szCs w:val="24"/>
        </w:rPr>
        <w:t xml:space="preserve"> </w:t>
      </w:r>
      <w:r w:rsidR="00EF15C4" w:rsidRPr="000F6C89">
        <w:rPr>
          <w:rFonts w:ascii="Arial" w:hAnsi="Arial" w:cs="Arial"/>
          <w:sz w:val="24"/>
          <w:szCs w:val="24"/>
        </w:rPr>
        <w:t>planificación, ejecución y elaboración del informe.</w:t>
      </w:r>
    </w:p>
    <w:p w:rsidR="00EF15C4" w:rsidRPr="00EF15C4" w:rsidRDefault="00EF15C4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5C4">
        <w:rPr>
          <w:rFonts w:ascii="Arial" w:hAnsi="Arial" w:cs="Arial"/>
          <w:sz w:val="24"/>
          <w:szCs w:val="24"/>
        </w:rPr>
        <w:lastRenderedPageBreak/>
        <w:t xml:space="preserve">Plazo: máximo </w:t>
      </w:r>
      <w:r>
        <w:rPr>
          <w:rFonts w:ascii="Arial" w:hAnsi="Arial" w:cs="Arial"/>
          <w:sz w:val="24"/>
          <w:szCs w:val="24"/>
        </w:rPr>
        <w:t xml:space="preserve">10 </w:t>
      </w:r>
      <w:r w:rsidRPr="00EF15C4">
        <w:rPr>
          <w:rFonts w:ascii="Arial" w:hAnsi="Arial" w:cs="Arial"/>
          <w:sz w:val="24"/>
          <w:szCs w:val="24"/>
        </w:rPr>
        <w:t>días hábiles.</w:t>
      </w:r>
    </w:p>
    <w:p w:rsidR="00EF15C4" w:rsidRDefault="00EF15C4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5C4">
        <w:rPr>
          <w:rFonts w:ascii="Arial" w:hAnsi="Arial" w:cs="Arial"/>
          <w:sz w:val="24"/>
          <w:szCs w:val="24"/>
        </w:rPr>
        <w:t>Resultado: Informe de Visita de Control remitido a la entidad a través del cual se comunica al Titular de la entidad los riesgos identificados por el equipo a cargo.</w:t>
      </w:r>
    </w:p>
    <w:p w:rsidR="00A7382D" w:rsidRPr="004D1AF1" w:rsidRDefault="004D1AF1" w:rsidP="00BD56D7">
      <w:pPr>
        <w:pStyle w:val="Ttulo2"/>
      </w:pPr>
      <w:bookmarkStart w:id="9" w:name="_Toc505669530"/>
      <w:r w:rsidRPr="004D1AF1">
        <w:t>II OPERATIVO DE CONTROL SIMULTÁNEO</w:t>
      </w:r>
      <w:bookmarkEnd w:id="9"/>
    </w:p>
    <w:p w:rsidR="00A7382D" w:rsidRPr="00A7382D" w:rsidRDefault="00A7382D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82D">
        <w:rPr>
          <w:rFonts w:ascii="Arial" w:hAnsi="Arial" w:cs="Arial"/>
          <w:sz w:val="24"/>
          <w:szCs w:val="24"/>
        </w:rPr>
        <w:t>Es el conjunto de servicios de control simultáneo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bajo una misma modalidad, que se desarrollan de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manera paralela y estandarizada, con un objetivo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común y a un grupo de entidades sujetas al ámbito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del Sistema determinadas por la Contraloría.</w:t>
      </w:r>
    </w:p>
    <w:p w:rsidR="00A7382D" w:rsidRPr="00A7382D" w:rsidRDefault="00A7382D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82D">
        <w:rPr>
          <w:rFonts w:ascii="Arial" w:hAnsi="Arial" w:cs="Arial"/>
          <w:sz w:val="24"/>
          <w:szCs w:val="24"/>
        </w:rPr>
        <w:t>Los operativos de control simultáneo se encuentran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a cargo de la Contraloría, y son desarrollados por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dicho órgano de control y por los OCI, en el marco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de las disposiciones de la presente Directiva y de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las específicas que establece la Contraloría según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la modalidad de control simultáneo que ejecute a</w:t>
      </w:r>
      <w:r w:rsidR="006B212C">
        <w:rPr>
          <w:rFonts w:ascii="Arial" w:hAnsi="Arial" w:cs="Arial"/>
          <w:sz w:val="24"/>
          <w:szCs w:val="24"/>
        </w:rPr>
        <w:t xml:space="preserve"> </w:t>
      </w:r>
      <w:r w:rsidRPr="00A7382D">
        <w:rPr>
          <w:rFonts w:ascii="Arial" w:hAnsi="Arial" w:cs="Arial"/>
          <w:sz w:val="24"/>
          <w:szCs w:val="24"/>
        </w:rPr>
        <w:t>través de operativos.</w:t>
      </w:r>
    </w:p>
    <w:p w:rsidR="004D1AF1" w:rsidRDefault="00A7382D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82D">
        <w:rPr>
          <w:rFonts w:ascii="Arial" w:hAnsi="Arial" w:cs="Arial"/>
          <w:sz w:val="24"/>
          <w:szCs w:val="24"/>
        </w:rPr>
        <w:t>Etapas</w:t>
      </w:r>
      <w:r w:rsidR="004D1AF1">
        <w:rPr>
          <w:rFonts w:ascii="Arial" w:hAnsi="Arial" w:cs="Arial"/>
          <w:sz w:val="24"/>
          <w:szCs w:val="24"/>
        </w:rPr>
        <w:t xml:space="preserve">: </w:t>
      </w:r>
      <w:r w:rsidRPr="00A7382D">
        <w:rPr>
          <w:rFonts w:ascii="Arial" w:hAnsi="Arial" w:cs="Arial"/>
          <w:sz w:val="24"/>
          <w:szCs w:val="24"/>
        </w:rPr>
        <w:t>Planificación</w:t>
      </w:r>
      <w:r w:rsidR="004D1AF1">
        <w:rPr>
          <w:rFonts w:ascii="Arial" w:hAnsi="Arial" w:cs="Arial"/>
          <w:sz w:val="24"/>
          <w:szCs w:val="24"/>
        </w:rPr>
        <w:t xml:space="preserve">, </w:t>
      </w:r>
      <w:r w:rsidRPr="00A7382D">
        <w:rPr>
          <w:rFonts w:ascii="Arial" w:hAnsi="Arial" w:cs="Arial"/>
          <w:sz w:val="24"/>
          <w:szCs w:val="24"/>
        </w:rPr>
        <w:t>Ejecución</w:t>
      </w:r>
      <w:r w:rsidR="004D1AF1">
        <w:rPr>
          <w:rFonts w:ascii="Arial" w:hAnsi="Arial" w:cs="Arial"/>
          <w:sz w:val="24"/>
          <w:szCs w:val="24"/>
        </w:rPr>
        <w:t>,</w:t>
      </w:r>
      <w:r w:rsidR="004D1AF1" w:rsidRPr="004D1AF1">
        <w:rPr>
          <w:rFonts w:ascii="Arial" w:hAnsi="Arial" w:cs="Arial"/>
          <w:sz w:val="24"/>
          <w:szCs w:val="24"/>
        </w:rPr>
        <w:t xml:space="preserve"> Elaboració</w:t>
      </w:r>
      <w:bookmarkStart w:id="10" w:name="_GoBack"/>
      <w:bookmarkEnd w:id="10"/>
      <w:r w:rsidR="004D1AF1" w:rsidRPr="004D1AF1">
        <w:rPr>
          <w:rFonts w:ascii="Arial" w:hAnsi="Arial" w:cs="Arial"/>
          <w:sz w:val="24"/>
          <w:szCs w:val="24"/>
        </w:rPr>
        <w:t>n del informe</w:t>
      </w:r>
    </w:p>
    <w:p w:rsidR="004D1AF1" w:rsidRPr="000F6C89" w:rsidRDefault="004D1AF1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 xml:space="preserve">Plazo: máximo </w:t>
      </w:r>
      <w:r>
        <w:rPr>
          <w:rFonts w:ascii="Arial" w:hAnsi="Arial" w:cs="Arial"/>
          <w:sz w:val="24"/>
          <w:szCs w:val="24"/>
        </w:rPr>
        <w:t>20</w:t>
      </w:r>
      <w:r w:rsidRPr="000F6C89">
        <w:rPr>
          <w:rFonts w:ascii="Arial" w:hAnsi="Arial" w:cs="Arial"/>
          <w:sz w:val="24"/>
          <w:szCs w:val="24"/>
        </w:rPr>
        <w:t xml:space="preserve"> días hábiles.</w:t>
      </w:r>
    </w:p>
    <w:p w:rsidR="004D1AF1" w:rsidRPr="000F6C89" w:rsidRDefault="004D1AF1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C89">
        <w:rPr>
          <w:rFonts w:ascii="Arial" w:hAnsi="Arial" w:cs="Arial"/>
          <w:sz w:val="24"/>
          <w:szCs w:val="24"/>
        </w:rPr>
        <w:t>Resultado: Informe de Visita de Control remitido a la entidad a través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del cual se comunica al Titular de la entidad los riesgos identificados por</w:t>
      </w:r>
      <w:r>
        <w:rPr>
          <w:rFonts w:ascii="Arial" w:hAnsi="Arial" w:cs="Arial"/>
          <w:sz w:val="24"/>
          <w:szCs w:val="24"/>
        </w:rPr>
        <w:t xml:space="preserve"> </w:t>
      </w:r>
      <w:r w:rsidRPr="000F6C89">
        <w:rPr>
          <w:rFonts w:ascii="Arial" w:hAnsi="Arial" w:cs="Arial"/>
          <w:sz w:val="24"/>
          <w:szCs w:val="24"/>
        </w:rPr>
        <w:t>el equipo a cargo.</w:t>
      </w:r>
    </w:p>
    <w:p w:rsidR="009E075E" w:rsidRPr="009E075E" w:rsidRDefault="009E075E" w:rsidP="00BD56D7">
      <w:pPr>
        <w:pStyle w:val="Ttulo2"/>
      </w:pPr>
      <w:bookmarkStart w:id="11" w:name="_Toc505669531"/>
      <w:r w:rsidRPr="009E075E">
        <w:t>III ESTADO DE LOS RIESGOS DEL INFORME DE CONTROL</w:t>
      </w:r>
      <w:r>
        <w:t xml:space="preserve"> SIMULTANEO</w:t>
      </w:r>
      <w:bookmarkEnd w:id="11"/>
    </w:p>
    <w:p w:rsidR="009E075E" w:rsidRPr="009E075E" w:rsidRDefault="009E075E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75E" w:rsidRPr="009E075E" w:rsidRDefault="009E075E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A partir de la información y documentación que la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entidad remite al OCI para sustentar la adopción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de las acciones para el tratamiento de los riesgos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identificados en el informe de control simultáneo, el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OCI previo análisis y evaluación de dichas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y considerando la capacidad discrecional que le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corresponde a la gestión de la entidad, aplica a cada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riesgo alguno de los estados siguientes:</w:t>
      </w:r>
    </w:p>
    <w:p w:rsidR="009E075E" w:rsidRDefault="009E075E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BAA" w:rsidRPr="009E075E" w:rsidRDefault="008C4BAA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075E" w:rsidTr="008C4BAA">
        <w:tc>
          <w:tcPr>
            <w:tcW w:w="4247" w:type="dxa"/>
            <w:shd w:val="clear" w:color="auto" w:fill="B4C6E7" w:themeFill="accent1" w:themeFillTint="66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lastRenderedPageBreak/>
              <w:t>Estado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9E075E" w:rsidTr="009E075E">
        <w:tc>
          <w:tcPr>
            <w:tcW w:w="4247" w:type="dxa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Mitigado</w:t>
            </w:r>
          </w:p>
        </w:tc>
        <w:tc>
          <w:tcPr>
            <w:tcW w:w="4247" w:type="dxa"/>
          </w:tcPr>
          <w:p w:rsidR="009E075E" w:rsidRP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Cuando las acciones adoptadas por la entidad</w:t>
            </w:r>
          </w:p>
          <w:p w:rsid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reducen, evitan o comparten el riesgo comunicado</w:t>
            </w:r>
          </w:p>
        </w:tc>
      </w:tr>
      <w:tr w:rsidR="009E075E" w:rsidTr="009E075E">
        <w:tc>
          <w:tcPr>
            <w:tcW w:w="4247" w:type="dxa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Aceptado</w:t>
            </w:r>
          </w:p>
        </w:tc>
        <w:tc>
          <w:tcPr>
            <w:tcW w:w="4247" w:type="dxa"/>
          </w:tcPr>
          <w:p w:rsidR="009E075E" w:rsidRP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Cuando la entidad decide asumir el riesgo al</w:t>
            </w:r>
          </w:p>
          <w:p w:rsidR="009E075E" w:rsidRP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considerar que la probabilidad de ocurrencia e</w:t>
            </w:r>
          </w:p>
          <w:p w:rsid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impacto es baja.</w:t>
            </w:r>
          </w:p>
        </w:tc>
      </w:tr>
      <w:tr w:rsidR="009E075E" w:rsidTr="009E075E">
        <w:tc>
          <w:tcPr>
            <w:tcW w:w="4247" w:type="dxa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Sin acciones</w:t>
            </w:r>
          </w:p>
        </w:tc>
        <w:tc>
          <w:tcPr>
            <w:tcW w:w="4247" w:type="dxa"/>
          </w:tcPr>
          <w:p w:rsid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Cuando la entidad no gestiona el riesgo.</w:t>
            </w:r>
          </w:p>
        </w:tc>
      </w:tr>
    </w:tbl>
    <w:p w:rsidR="009E075E" w:rsidRPr="009E075E" w:rsidRDefault="009E075E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75E" w:rsidRPr="009E075E" w:rsidRDefault="009E075E" w:rsidP="00BD56D7">
      <w:pPr>
        <w:pStyle w:val="Ttulo2"/>
      </w:pPr>
      <w:bookmarkStart w:id="12" w:name="_Toc505669532"/>
      <w:r w:rsidRPr="009E075E">
        <w:t>IV</w:t>
      </w:r>
      <w:r w:rsidR="00C363E7">
        <w:t xml:space="preserve">. </w:t>
      </w:r>
      <w:r w:rsidRPr="009E075E">
        <w:t xml:space="preserve"> ESTADO DE LAS RECOMENDACIONES DEL INFORME DEL OPERATIVO DE CONTROL SIMULTÁNEO</w:t>
      </w:r>
      <w:bookmarkEnd w:id="12"/>
    </w:p>
    <w:p w:rsidR="009E075E" w:rsidRDefault="009E075E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A partir de las acciones que adopte la entidad para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implementar las recomendaciones del informe del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operativo de control simultáneo, el OCI previo análisis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y evaluación de dichas acciones, aplica a cada</w:t>
      </w:r>
      <w:r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recomendación alguno de los estados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075E" w:rsidTr="008C4BAA">
        <w:tc>
          <w:tcPr>
            <w:tcW w:w="4247" w:type="dxa"/>
            <w:shd w:val="clear" w:color="auto" w:fill="B4C6E7" w:themeFill="accent1" w:themeFillTint="66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9E075E" w:rsidTr="009E075E">
        <w:tc>
          <w:tcPr>
            <w:tcW w:w="4247" w:type="dxa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Pendiente</w:t>
            </w:r>
          </w:p>
        </w:tc>
        <w:tc>
          <w:tcPr>
            <w:tcW w:w="4247" w:type="dxa"/>
          </w:tcPr>
          <w:p w:rsidR="009E075E" w:rsidRDefault="009E075E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Cuando el Titular de la entidad no ha adoptado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las acciones orientadas a implementar las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recomendaciones o cuando no ha designado a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los funcionarios responsables para implementar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las recomendaciones, o cuando habiendo sido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designados, estos no han iniciado acción alguna</w:t>
            </w:r>
            <w:r w:rsidR="00C3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75E">
              <w:rPr>
                <w:rFonts w:ascii="Arial" w:hAnsi="Arial" w:cs="Arial"/>
                <w:sz w:val="24"/>
                <w:szCs w:val="24"/>
              </w:rPr>
              <w:t>orientada a su implementación.</w:t>
            </w:r>
          </w:p>
        </w:tc>
      </w:tr>
      <w:tr w:rsidR="009E075E" w:rsidTr="009E075E">
        <w:tc>
          <w:tcPr>
            <w:tcW w:w="4247" w:type="dxa"/>
          </w:tcPr>
          <w:p w:rsidR="009E075E" w:rsidRDefault="009E075E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75E">
              <w:rPr>
                <w:rFonts w:ascii="Arial" w:hAnsi="Arial" w:cs="Arial"/>
                <w:sz w:val="24"/>
                <w:szCs w:val="24"/>
              </w:rPr>
              <w:t>En proceso</w:t>
            </w:r>
          </w:p>
        </w:tc>
        <w:tc>
          <w:tcPr>
            <w:tcW w:w="4247" w:type="dxa"/>
          </w:tcPr>
          <w:p w:rsidR="009E075E" w:rsidRDefault="00C363E7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3E7">
              <w:rPr>
                <w:rFonts w:ascii="Arial" w:hAnsi="Arial" w:cs="Arial"/>
                <w:sz w:val="24"/>
                <w:szCs w:val="24"/>
              </w:rPr>
              <w:t>Cuando las acciones adoptadas por el funcionario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3E7">
              <w:rPr>
                <w:rFonts w:ascii="Arial" w:hAnsi="Arial" w:cs="Arial"/>
                <w:sz w:val="24"/>
                <w:szCs w:val="24"/>
              </w:rPr>
              <w:t>designado están en proceso de implementación</w:t>
            </w:r>
          </w:p>
        </w:tc>
      </w:tr>
      <w:tr w:rsidR="00C363E7" w:rsidTr="009E075E">
        <w:tc>
          <w:tcPr>
            <w:tcW w:w="4247" w:type="dxa"/>
          </w:tcPr>
          <w:p w:rsidR="00C363E7" w:rsidRPr="009E075E" w:rsidRDefault="00C363E7" w:rsidP="00AD56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3E7">
              <w:rPr>
                <w:rFonts w:ascii="Arial" w:hAnsi="Arial" w:cs="Arial"/>
                <w:sz w:val="24"/>
                <w:szCs w:val="24"/>
              </w:rPr>
              <w:t>Implementada</w:t>
            </w:r>
          </w:p>
        </w:tc>
        <w:tc>
          <w:tcPr>
            <w:tcW w:w="4247" w:type="dxa"/>
          </w:tcPr>
          <w:p w:rsidR="00C363E7" w:rsidRPr="00C363E7" w:rsidRDefault="00C363E7" w:rsidP="00AD5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3E7">
              <w:rPr>
                <w:rFonts w:ascii="Arial" w:hAnsi="Arial" w:cs="Arial"/>
                <w:sz w:val="24"/>
                <w:szCs w:val="24"/>
              </w:rPr>
              <w:t>Cuando las acciones adoptadas se han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3E7">
              <w:rPr>
                <w:rFonts w:ascii="Arial" w:hAnsi="Arial" w:cs="Arial"/>
                <w:sz w:val="24"/>
                <w:szCs w:val="24"/>
              </w:rPr>
              <w:t>implementado.</w:t>
            </w:r>
          </w:p>
        </w:tc>
      </w:tr>
    </w:tbl>
    <w:p w:rsidR="009E075E" w:rsidRPr="009E075E" w:rsidRDefault="009E075E" w:rsidP="00BD56D7">
      <w:pPr>
        <w:pStyle w:val="Ttulo2"/>
      </w:pPr>
    </w:p>
    <w:p w:rsidR="008C4BAA" w:rsidRDefault="008C4BAA" w:rsidP="00BD56D7">
      <w:pPr>
        <w:pStyle w:val="Ttulo2"/>
      </w:pPr>
    </w:p>
    <w:p w:rsidR="008C4BAA" w:rsidRDefault="008C4BAA" w:rsidP="00BD56D7">
      <w:pPr>
        <w:pStyle w:val="Ttulo2"/>
      </w:pPr>
    </w:p>
    <w:p w:rsidR="00A11D3B" w:rsidRPr="00A11D3B" w:rsidRDefault="00A11D3B" w:rsidP="00A11D3B"/>
    <w:p w:rsidR="009E075E" w:rsidRDefault="00C363E7" w:rsidP="00BD56D7">
      <w:pPr>
        <w:pStyle w:val="Ttulo2"/>
      </w:pPr>
      <w:bookmarkStart w:id="13" w:name="_Toc505669533"/>
      <w:r w:rsidRPr="001C0C92">
        <w:lastRenderedPageBreak/>
        <w:t>V. SEGUIMIENTO Y EVALUACIÓN DE LOS RESULTADOS DEL SERVICIO DE CONTROL SIMULTÁNEO</w:t>
      </w:r>
      <w:bookmarkEnd w:id="13"/>
    </w:p>
    <w:p w:rsidR="008C4BAA" w:rsidRPr="008C4BAA" w:rsidRDefault="008C4BAA" w:rsidP="008C4BAA"/>
    <w:p w:rsidR="009E075E" w:rsidRPr="009E075E" w:rsidRDefault="009E075E" w:rsidP="008C4BAA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a) El Titular de la entidad y los funcionarios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que este designe, son responsables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adoptar las acciones para el tratamiento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los riesgos y las acciones para implementar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las recomendaciones que se exponen en el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informe, en la forma y plazos siguientes:</w:t>
      </w:r>
    </w:p>
    <w:p w:rsidR="009E075E" w:rsidRPr="009E075E" w:rsidRDefault="009E075E" w:rsidP="00AD56B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i) En un plazo máximo de veinte días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hábiles contados a partir del día hábil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siguiente de recibido el informe por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la entidad, el Titular o el funcionario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designado debe remitir al OCI, la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información y documentación que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manera objetiva y concreta acredite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las acciones que adoptó o adoptará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para el tratamiento de los riesgos, así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como las acciones para implementar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las recomendaciones. Para dicho fin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utiliza el formato del Plan de Acción del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Anexo Nº 1 y 2º, según corresponda,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la presente Directiva.</w:t>
      </w:r>
    </w:p>
    <w:p w:rsidR="009E075E" w:rsidRPr="009E075E" w:rsidRDefault="009E075E" w:rsidP="00AD56B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ii) Independientemente del plazo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establecido en el acápite i), la entidad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debe remitir al OCI o a la Contraloría, la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información y documentación que sea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requerida por dichos órganos de control,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en la forma y plazos que establezcan.</w:t>
      </w:r>
    </w:p>
    <w:p w:rsidR="00C363E7" w:rsidRPr="00C363E7" w:rsidRDefault="009E075E" w:rsidP="00AD56B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E075E">
        <w:rPr>
          <w:rFonts w:ascii="Arial" w:hAnsi="Arial" w:cs="Arial"/>
          <w:sz w:val="24"/>
          <w:szCs w:val="24"/>
        </w:rPr>
        <w:t>iii) El Titular de la entidad debe cautelar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que las acciones para el tratamiento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los riesgos o las acciones orientadas a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 xml:space="preserve">implementar las </w:t>
      </w:r>
      <w:r w:rsidR="008C4BAA" w:rsidRPr="009E075E">
        <w:rPr>
          <w:rFonts w:ascii="Arial" w:hAnsi="Arial" w:cs="Arial"/>
          <w:sz w:val="24"/>
          <w:szCs w:val="24"/>
        </w:rPr>
        <w:t>recomendaciones</w:t>
      </w:r>
      <w:r w:rsidRPr="009E075E">
        <w:rPr>
          <w:rFonts w:ascii="Arial" w:hAnsi="Arial" w:cs="Arial"/>
          <w:sz w:val="24"/>
          <w:szCs w:val="24"/>
        </w:rPr>
        <w:t xml:space="preserve"> se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adopten antes del vencimiento del plazo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establecido en el literal c) subsiguiente;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>sin perjuicio de las acciones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Pr="009E075E">
        <w:rPr>
          <w:rFonts w:ascii="Arial" w:hAnsi="Arial" w:cs="Arial"/>
          <w:sz w:val="24"/>
          <w:szCs w:val="24"/>
        </w:rPr>
        <w:t xml:space="preserve">administrativas </w:t>
      </w:r>
      <w:r w:rsidR="008C4BAA" w:rsidRPr="009E075E">
        <w:rPr>
          <w:rFonts w:ascii="Arial" w:hAnsi="Arial" w:cs="Arial"/>
          <w:sz w:val="24"/>
          <w:szCs w:val="24"/>
        </w:rPr>
        <w:t>que,</w:t>
      </w:r>
      <w:r w:rsidRPr="009E075E">
        <w:rPr>
          <w:rFonts w:ascii="Arial" w:hAnsi="Arial" w:cs="Arial"/>
          <w:sz w:val="24"/>
          <w:szCs w:val="24"/>
        </w:rPr>
        <w:t xml:space="preserve"> en el marco de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="00C363E7" w:rsidRPr="00C363E7">
        <w:rPr>
          <w:rFonts w:ascii="Arial" w:hAnsi="Arial" w:cs="Arial"/>
          <w:sz w:val="24"/>
          <w:szCs w:val="24"/>
        </w:rPr>
        <w:t>las competencias funcionales de la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="00C363E7" w:rsidRPr="00C363E7">
        <w:rPr>
          <w:rFonts w:ascii="Arial" w:hAnsi="Arial" w:cs="Arial"/>
          <w:sz w:val="24"/>
          <w:szCs w:val="24"/>
        </w:rPr>
        <w:t>entidad, corresponda adoptar frente al</w:t>
      </w:r>
      <w:r w:rsidR="00C363E7">
        <w:rPr>
          <w:rFonts w:ascii="Arial" w:hAnsi="Arial" w:cs="Arial"/>
          <w:sz w:val="24"/>
          <w:szCs w:val="24"/>
        </w:rPr>
        <w:t xml:space="preserve"> </w:t>
      </w:r>
      <w:r w:rsidR="00C363E7" w:rsidRPr="00C363E7">
        <w:rPr>
          <w:rFonts w:ascii="Arial" w:hAnsi="Arial" w:cs="Arial"/>
          <w:sz w:val="24"/>
          <w:szCs w:val="24"/>
        </w:rPr>
        <w:t>incumplimiento del referido plazo.</w:t>
      </w:r>
    </w:p>
    <w:p w:rsidR="00C363E7" w:rsidRPr="00C363E7" w:rsidRDefault="00C363E7" w:rsidP="008C4BAA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b) El OCI que desarrolló el control simultáneoo el OCI a quien la Contraloría encarga el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seguimiento y evaluación de las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para el tratamiento de los riesgos o la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implementación de recomendaciones, es el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responsable de esta actividad y debe coordinar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de manera permanente con el Titular de la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entidad o los funcionarios designados por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este, a fin que disponga o adopten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oportuna las acciones para el tratamiento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 xml:space="preserve">de los riesgos o la </w:t>
      </w:r>
      <w:r w:rsidRPr="00C363E7">
        <w:rPr>
          <w:rFonts w:ascii="Arial" w:hAnsi="Arial" w:cs="Arial"/>
          <w:sz w:val="24"/>
          <w:szCs w:val="24"/>
        </w:rPr>
        <w:lastRenderedPageBreak/>
        <w:t>implementación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recomendaciones, absolviendo las consultas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que pudieran existir sobre las mismas.</w:t>
      </w:r>
    </w:p>
    <w:p w:rsidR="00C363E7" w:rsidRPr="00C363E7" w:rsidRDefault="00C363E7" w:rsidP="008C4BA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Asimismo, debe registrar de manera oportuna,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integral y veraz, en el aplicativo informático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establecido por la Contraloría,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resultante de las acciones para el tratamiento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de los riesgos o de la implementación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recomendaciones, asignando el estado que</w:t>
      </w:r>
      <w:r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corresponda.</w:t>
      </w:r>
    </w:p>
    <w:p w:rsidR="00C363E7" w:rsidRPr="00C363E7" w:rsidRDefault="00C363E7" w:rsidP="008C4BAA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c) El OCI efectúa el seguimiento y evaluación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de las acciones para el tratamiento del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riesgo o para la implementación de las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recomendaciones, hasta que el riesgo haya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sido mitigado, la recomendación haya sido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implementada, o hasta que transcurra el plazo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máximo de un año contado a partir del día hábil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siguiente de recibido el informe por la entidad.</w:t>
      </w:r>
    </w:p>
    <w:p w:rsidR="00C363E7" w:rsidRPr="00C363E7" w:rsidRDefault="00C363E7" w:rsidP="008C4BA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Vencido el plazo de un año sin que la entidad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adopte las acciones orientadas a mitigar el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riesgo o implementar las recomendaciones,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el OCI registra dicha situación en el aplicativo</w:t>
      </w:r>
      <w:r w:rsidR="00E760A7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informativo establecido por la Contraloría.</w:t>
      </w:r>
    </w:p>
    <w:p w:rsidR="00C363E7" w:rsidRPr="00C363E7" w:rsidRDefault="00C363E7" w:rsidP="008C4BA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Esta información podrá ser considerada por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los órganos del Sistema para el desarrollo de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un servicio de control posterior en el marco de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las disposiciones que regulan dicho servicio.</w:t>
      </w:r>
    </w:p>
    <w:p w:rsidR="00C363E7" w:rsidRPr="00C363E7" w:rsidRDefault="00C363E7" w:rsidP="008C4BAA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d) El OCI informa a la Contraloría de manera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semestral, a través del aplicativo informático y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con base en la información registrada en este,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las acciones adoptadas por la entidad, con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corte a los siguientes períodos:</w:t>
      </w:r>
    </w:p>
    <w:p w:rsidR="00C363E7" w:rsidRPr="00C363E7" w:rsidRDefault="00C363E7" w:rsidP="00AD56B8">
      <w:pPr>
        <w:spacing w:line="36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− Primer semestre: Comprende los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registros efectuados entre los meses de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enero a junio.</w:t>
      </w:r>
    </w:p>
    <w:p w:rsidR="00C363E7" w:rsidRPr="00C363E7" w:rsidRDefault="00C363E7" w:rsidP="00AD56B8">
      <w:pPr>
        <w:spacing w:line="360" w:lineRule="auto"/>
        <w:ind w:left="993" w:hanging="285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− Segundo semestre: Comprende los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registros efectuados entre los meses de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julio a diciembre.</w:t>
      </w:r>
    </w:p>
    <w:p w:rsidR="00AD56B8" w:rsidRDefault="00C363E7" w:rsidP="008C4BA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La información se remite dentro de los cinco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días hábiles posteriores al corte del semestre.</w:t>
      </w:r>
    </w:p>
    <w:p w:rsidR="00DE1AA2" w:rsidRDefault="00DE1AA2" w:rsidP="008C4BA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363E7" w:rsidRPr="00AD56B8" w:rsidRDefault="00AD56B8" w:rsidP="00BD56D7">
      <w:pPr>
        <w:pStyle w:val="Ttulo2"/>
      </w:pPr>
      <w:bookmarkStart w:id="14" w:name="_Toc505669534"/>
      <w:r w:rsidRPr="00AD56B8">
        <w:lastRenderedPageBreak/>
        <w:t>V</w:t>
      </w:r>
      <w:r>
        <w:t>I</w:t>
      </w:r>
      <w:r w:rsidRPr="00AD56B8">
        <w:t>.  DIFUSIÓN DE RESULTADOS DEL CONTROL SIMULTÁNEO</w:t>
      </w:r>
      <w:bookmarkEnd w:id="14"/>
    </w:p>
    <w:p w:rsidR="008C4BAA" w:rsidRDefault="008C4BAA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1AF1" w:rsidRDefault="00C363E7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3E7">
        <w:rPr>
          <w:rFonts w:ascii="Arial" w:hAnsi="Arial" w:cs="Arial"/>
          <w:sz w:val="24"/>
          <w:szCs w:val="24"/>
        </w:rPr>
        <w:t>La Contraloría, en el marco del principio de publicidad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establecido en el literal p) del artículo 9º de la Ley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Nº 27785, difunde los resultados del desarrollo del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servicio de control simultáneo a través de su portal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web y los medios de comunicación que considere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pertinentes, cautelando que la información publicada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no revele nombres o datos que identifiquen o pueda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dar lugar a identificar a las personas involucradas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en el informe resultante del servicio, con el fin de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salvaguardar el derecho de toda persona al honor y</w:t>
      </w:r>
      <w:r w:rsidR="00AD56B8">
        <w:rPr>
          <w:rFonts w:ascii="Arial" w:hAnsi="Arial" w:cs="Arial"/>
          <w:sz w:val="24"/>
          <w:szCs w:val="24"/>
        </w:rPr>
        <w:t xml:space="preserve"> </w:t>
      </w:r>
      <w:r w:rsidRPr="00C363E7">
        <w:rPr>
          <w:rFonts w:ascii="Arial" w:hAnsi="Arial" w:cs="Arial"/>
          <w:sz w:val="24"/>
          <w:szCs w:val="24"/>
        </w:rPr>
        <w:t>a la buena reputación.</w:t>
      </w: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8F0" w:rsidRDefault="00F668F0" w:rsidP="00AD56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1AF1" w:rsidRPr="00AD56B8" w:rsidRDefault="00AD56B8" w:rsidP="00BD56D7">
      <w:pPr>
        <w:pStyle w:val="Ttulo2"/>
      </w:pPr>
      <w:bookmarkStart w:id="15" w:name="_Toc505669535"/>
      <w:r w:rsidRPr="00AD56B8">
        <w:lastRenderedPageBreak/>
        <w:t>VII CONCLUSIONES</w:t>
      </w:r>
      <w:bookmarkEnd w:id="15"/>
    </w:p>
    <w:p w:rsidR="00BD56D7" w:rsidRDefault="00BD56D7" w:rsidP="00BD56D7">
      <w:pPr>
        <w:pStyle w:val="Ttulo2"/>
      </w:pPr>
    </w:p>
    <w:p w:rsidR="000C41D7" w:rsidRPr="000C41D7" w:rsidRDefault="000C41D7" w:rsidP="000C4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1D7">
        <w:rPr>
          <w:rFonts w:ascii="Arial" w:hAnsi="Arial" w:cs="Arial"/>
          <w:sz w:val="24"/>
          <w:szCs w:val="24"/>
        </w:rPr>
        <w:t>El ejercicio del control gubernamental por el Sistema Nacional de Control en las entidades, se efectúa bajo la autoridad normativa y funcional de la Contraloría General</w:t>
      </w:r>
      <w:r>
        <w:rPr>
          <w:rFonts w:ascii="Arial" w:hAnsi="Arial" w:cs="Arial"/>
          <w:sz w:val="24"/>
          <w:szCs w:val="24"/>
        </w:rPr>
        <w:t xml:space="preserve"> de la República</w:t>
      </w:r>
      <w:r w:rsidRPr="000C41D7">
        <w:rPr>
          <w:rFonts w:ascii="Arial" w:hAnsi="Arial" w:cs="Arial"/>
          <w:sz w:val="24"/>
          <w:szCs w:val="24"/>
        </w:rPr>
        <w:t xml:space="preserve">, la </w:t>
      </w:r>
      <w:r>
        <w:rPr>
          <w:rFonts w:ascii="Arial" w:hAnsi="Arial" w:cs="Arial"/>
          <w:sz w:val="24"/>
          <w:szCs w:val="24"/>
        </w:rPr>
        <w:t xml:space="preserve">misma </w:t>
      </w:r>
      <w:r w:rsidRPr="000C41D7">
        <w:rPr>
          <w:rFonts w:ascii="Arial" w:hAnsi="Arial" w:cs="Arial"/>
          <w:sz w:val="24"/>
          <w:szCs w:val="24"/>
        </w:rPr>
        <w:t>que establece los lineamientos, disposiciones y procedimientos técnicos correspondientes a su proceso, en función a la naturaleza y/o especialización de dichas entidades, las modalidades de control aplicables y los objetivos trazados para su ejecución. Dicha regulación debe permitir la evaluación, por los órganos de control, de la gestión de las entidades y sus resultados.</w:t>
      </w:r>
    </w:p>
    <w:p w:rsidR="000C41D7" w:rsidRPr="000C41D7" w:rsidRDefault="000C41D7" w:rsidP="000C4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1D7">
        <w:rPr>
          <w:rFonts w:ascii="Arial" w:hAnsi="Arial" w:cs="Arial"/>
          <w:sz w:val="24"/>
          <w:szCs w:val="24"/>
        </w:rPr>
        <w:t>La Contraloría General de la República, en su calidad de ente técnico rector, organiza y desarrolla el control gubernamental en forma descentralizada y permanente.</w:t>
      </w:r>
    </w:p>
    <w:p w:rsidR="00BD56D7" w:rsidRDefault="008C4BAA" w:rsidP="00BD56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servicio de Control </w:t>
      </w:r>
      <w:r w:rsidRPr="0028341B">
        <w:rPr>
          <w:rFonts w:ascii="Arial" w:hAnsi="Arial" w:cs="Arial"/>
          <w:sz w:val="24"/>
          <w:szCs w:val="24"/>
        </w:rPr>
        <w:t xml:space="preserve">simultáneo </w:t>
      </w:r>
      <w:r>
        <w:rPr>
          <w:rFonts w:ascii="Arial" w:hAnsi="Arial" w:cs="Arial"/>
          <w:sz w:val="24"/>
          <w:szCs w:val="24"/>
        </w:rPr>
        <w:t>son</w:t>
      </w:r>
      <w:r w:rsidR="00BD56D7" w:rsidRPr="0028341B">
        <w:rPr>
          <w:rFonts w:ascii="Arial" w:hAnsi="Arial" w:cs="Arial"/>
          <w:sz w:val="24"/>
          <w:szCs w:val="24"/>
        </w:rPr>
        <w:t xml:space="preserve"> aquellos que se realizan a actos, hechos o actividades de un proceso en curso, correspondiente a la gestión de la entidad sujeta a control gubernamental, con el objeto de alertar oportunamente al Titular de la entidad o quien haga sus veces sobre la existencia de hechos que ponen en riesgo el resultado o el logro de sus objetivos, a fin de que la entidad defina las acciones que correspondan para el tratamiento de estos</w:t>
      </w:r>
      <w:r w:rsidR="000C41D7">
        <w:rPr>
          <w:rFonts w:ascii="Arial" w:hAnsi="Arial" w:cs="Arial"/>
          <w:sz w:val="24"/>
          <w:szCs w:val="24"/>
        </w:rPr>
        <w:t>.</w:t>
      </w:r>
    </w:p>
    <w:p w:rsidR="00BD56D7" w:rsidRDefault="00BD56D7" w:rsidP="00BD56D7">
      <w:pPr>
        <w:pStyle w:val="Ttulo2"/>
      </w:pPr>
    </w:p>
    <w:p w:rsidR="008C4BAA" w:rsidRDefault="008C4BAA" w:rsidP="008C4BAA"/>
    <w:p w:rsidR="008C4BAA" w:rsidRDefault="008C4BAA" w:rsidP="008C4BAA"/>
    <w:p w:rsidR="008C4BAA" w:rsidRDefault="008C4BAA" w:rsidP="008C4BAA"/>
    <w:p w:rsidR="008C4BAA" w:rsidRPr="008C4BAA" w:rsidRDefault="008C4BAA" w:rsidP="008C4BAA"/>
    <w:p w:rsidR="00BD56D7" w:rsidRDefault="00BD56D7" w:rsidP="00BD56D7">
      <w:pPr>
        <w:pStyle w:val="Ttulo2"/>
      </w:pPr>
    </w:p>
    <w:p w:rsidR="008C4BAA" w:rsidRDefault="008C4BAA" w:rsidP="008C4BAA"/>
    <w:p w:rsidR="008C4BAA" w:rsidRDefault="008C4BAA" w:rsidP="008C4BAA"/>
    <w:p w:rsidR="008C4BAA" w:rsidRDefault="008C4BAA" w:rsidP="008C4BAA"/>
    <w:p w:rsidR="008C4BAA" w:rsidRDefault="008C4BAA" w:rsidP="008C4BAA"/>
    <w:p w:rsidR="00F668F0" w:rsidRDefault="00F668F0" w:rsidP="008C4BAA"/>
    <w:p w:rsidR="00F668F0" w:rsidRDefault="00F668F0" w:rsidP="008C4BAA"/>
    <w:p w:rsidR="00F668F0" w:rsidRDefault="00F668F0" w:rsidP="008C4BAA"/>
    <w:p w:rsidR="004D1AF1" w:rsidRDefault="00BD56D7" w:rsidP="00BD56D7">
      <w:pPr>
        <w:pStyle w:val="Ttulo2"/>
      </w:pPr>
      <w:bookmarkStart w:id="16" w:name="_Toc505669536"/>
      <w:r>
        <w:t>VII BIBLIOGRAFIA</w:t>
      </w:r>
      <w:bookmarkEnd w:id="16"/>
    </w:p>
    <w:p w:rsidR="003E76FA" w:rsidRDefault="003E76FA" w:rsidP="003E76F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</w:p>
    <w:p w:rsidR="008C4BAA" w:rsidRPr="008C4BAA" w:rsidRDefault="008C4BAA" w:rsidP="008C4B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BAA">
        <w:rPr>
          <w:rFonts w:ascii="Arial Narrow" w:hAnsi="Arial Narrow" w:cs="Arial Narrow"/>
          <w:sz w:val="28"/>
          <w:szCs w:val="24"/>
        </w:rPr>
        <w:t>Resolución de Contraloría Nº 156-2015-CG se aprobó la versión actualizada de la Directiva Nº 006-2014- CG/APROD “Ejercicio del Control Simultáneo”</w:t>
      </w:r>
    </w:p>
    <w:p w:rsidR="0028341B" w:rsidRPr="003E76FA" w:rsidRDefault="003E76FA" w:rsidP="003E76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6FA">
        <w:rPr>
          <w:rFonts w:ascii="Arial Narrow" w:hAnsi="Arial Narrow" w:cs="Arial Narrow"/>
          <w:sz w:val="28"/>
          <w:szCs w:val="28"/>
        </w:rPr>
        <w:t>Resolución de Contraloría N° 432-2016-CG q</w:t>
      </w:r>
      <w:r w:rsidRPr="003E76FA">
        <w:rPr>
          <w:rFonts w:ascii="Arial" w:hAnsi="Arial" w:cs="Arial"/>
          <w:sz w:val="24"/>
          <w:szCs w:val="24"/>
        </w:rPr>
        <w:t>ue a</w:t>
      </w:r>
      <w:r w:rsidR="009909BB" w:rsidRPr="003E76FA">
        <w:rPr>
          <w:rFonts w:ascii="Arial" w:hAnsi="Arial" w:cs="Arial"/>
          <w:sz w:val="24"/>
          <w:szCs w:val="24"/>
        </w:rPr>
        <w:t>pr</w:t>
      </w:r>
      <w:r w:rsidRPr="003E76FA">
        <w:rPr>
          <w:rFonts w:ascii="Arial" w:hAnsi="Arial" w:cs="Arial"/>
          <w:sz w:val="24"/>
          <w:szCs w:val="24"/>
        </w:rPr>
        <w:t xml:space="preserve">ueba </w:t>
      </w:r>
      <w:r w:rsidR="009909BB" w:rsidRPr="003E76FA">
        <w:rPr>
          <w:rFonts w:ascii="Arial" w:hAnsi="Arial" w:cs="Arial"/>
          <w:sz w:val="24"/>
          <w:szCs w:val="24"/>
        </w:rPr>
        <w:t>la Directiva Nº 017-2016-CG/DPROCAL “Control Simultáneo”</w:t>
      </w:r>
      <w:r>
        <w:rPr>
          <w:rFonts w:ascii="Arial" w:hAnsi="Arial" w:cs="Arial"/>
          <w:sz w:val="24"/>
          <w:szCs w:val="24"/>
        </w:rPr>
        <w:t>.</w:t>
      </w:r>
    </w:p>
    <w:p w:rsidR="00D02F6B" w:rsidRPr="000C41D7" w:rsidRDefault="00D02F6B" w:rsidP="000C41D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1D7">
        <w:rPr>
          <w:rFonts w:ascii="Arial" w:hAnsi="Arial" w:cs="Arial"/>
          <w:sz w:val="24"/>
          <w:szCs w:val="24"/>
        </w:rPr>
        <w:t>Contraloría General de la República (2004) Manual de Auditoría Gubernamental. Lima. Editora Perú</w:t>
      </w:r>
    </w:p>
    <w:p w:rsidR="000C41D7" w:rsidRPr="000C41D7" w:rsidRDefault="000C41D7" w:rsidP="000C41D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1D7">
        <w:rPr>
          <w:rFonts w:ascii="Arial" w:hAnsi="Arial" w:cs="Arial"/>
          <w:sz w:val="24"/>
          <w:szCs w:val="24"/>
        </w:rPr>
        <w:t xml:space="preserve">Aldave &amp; Meniz (2005) </w:t>
      </w:r>
      <w:r w:rsidR="007748D3" w:rsidRPr="000C41D7">
        <w:rPr>
          <w:rFonts w:ascii="Arial" w:hAnsi="Arial" w:cs="Arial"/>
          <w:sz w:val="24"/>
          <w:szCs w:val="24"/>
        </w:rPr>
        <w:t>Auditoría</w:t>
      </w:r>
      <w:r w:rsidRPr="000C41D7">
        <w:rPr>
          <w:rFonts w:ascii="Arial" w:hAnsi="Arial" w:cs="Arial"/>
          <w:sz w:val="24"/>
          <w:szCs w:val="24"/>
        </w:rPr>
        <w:t xml:space="preserve"> y control gubernamental. Lima. Editora Gráfica Bernilla.</w:t>
      </w:r>
    </w:p>
    <w:p w:rsidR="000C41D7" w:rsidRPr="000C41D7" w:rsidRDefault="000C41D7" w:rsidP="000C4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C41D7" w:rsidRPr="000C41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B4" w:rsidRDefault="000771B4" w:rsidP="00F7116E">
      <w:pPr>
        <w:spacing w:after="0" w:line="240" w:lineRule="auto"/>
      </w:pPr>
      <w:r>
        <w:separator/>
      </w:r>
    </w:p>
  </w:endnote>
  <w:endnote w:type="continuationSeparator" w:id="0">
    <w:p w:rsidR="000771B4" w:rsidRDefault="000771B4" w:rsidP="00F7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682242"/>
      <w:docPartObj>
        <w:docPartGallery w:val="Page Numbers (Bottom of Page)"/>
        <w:docPartUnique/>
      </w:docPartObj>
    </w:sdtPr>
    <w:sdtEndPr/>
    <w:sdtContent>
      <w:p w:rsidR="009A6FE6" w:rsidRDefault="009A6F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18" w:rsidRPr="009B6518">
          <w:rPr>
            <w:noProof/>
            <w:lang w:val="es-ES"/>
          </w:rPr>
          <w:t>8</w:t>
        </w:r>
        <w:r>
          <w:fldChar w:fldCharType="end"/>
        </w:r>
      </w:p>
    </w:sdtContent>
  </w:sdt>
  <w:p w:rsidR="009A6FE6" w:rsidRDefault="009A6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B4" w:rsidRDefault="000771B4" w:rsidP="00F7116E">
      <w:pPr>
        <w:spacing w:after="0" w:line="240" w:lineRule="auto"/>
      </w:pPr>
      <w:r>
        <w:separator/>
      </w:r>
    </w:p>
  </w:footnote>
  <w:footnote w:type="continuationSeparator" w:id="0">
    <w:p w:rsidR="000771B4" w:rsidRDefault="000771B4" w:rsidP="00F7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E" w:rsidRDefault="00F7116E">
    <w:pPr>
      <w:pStyle w:val="Encabezado"/>
    </w:pPr>
    <w:r>
      <w:rPr>
        <w:noProof/>
        <w:lang w:eastAsia="es-PE"/>
      </w:rPr>
      <w:drawing>
        <wp:inline distT="0" distB="0" distL="0" distR="0" wp14:anchorId="541176FD">
          <wp:extent cx="5175885" cy="105473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0CC"/>
    <w:multiLevelType w:val="hybridMultilevel"/>
    <w:tmpl w:val="B8900E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1DAC"/>
    <w:multiLevelType w:val="hybridMultilevel"/>
    <w:tmpl w:val="4C92D254"/>
    <w:lvl w:ilvl="0" w:tplc="303E487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E9"/>
    <w:rsid w:val="000771B4"/>
    <w:rsid w:val="0009487A"/>
    <w:rsid w:val="000C41D7"/>
    <w:rsid w:val="000F6C89"/>
    <w:rsid w:val="001C0C92"/>
    <w:rsid w:val="0028341B"/>
    <w:rsid w:val="003463F1"/>
    <w:rsid w:val="00353300"/>
    <w:rsid w:val="003811E9"/>
    <w:rsid w:val="00382B7B"/>
    <w:rsid w:val="003E76FA"/>
    <w:rsid w:val="004D1AF1"/>
    <w:rsid w:val="005311C4"/>
    <w:rsid w:val="005E1B00"/>
    <w:rsid w:val="006B212C"/>
    <w:rsid w:val="007748D3"/>
    <w:rsid w:val="008919E9"/>
    <w:rsid w:val="008B65FB"/>
    <w:rsid w:val="008C4BAA"/>
    <w:rsid w:val="009909BB"/>
    <w:rsid w:val="009A6FE6"/>
    <w:rsid w:val="009B6518"/>
    <w:rsid w:val="009E075E"/>
    <w:rsid w:val="00A11D3B"/>
    <w:rsid w:val="00A7382D"/>
    <w:rsid w:val="00AD56B8"/>
    <w:rsid w:val="00B87DB4"/>
    <w:rsid w:val="00BD56D7"/>
    <w:rsid w:val="00C352E9"/>
    <w:rsid w:val="00C363E7"/>
    <w:rsid w:val="00D02F6B"/>
    <w:rsid w:val="00D70B0F"/>
    <w:rsid w:val="00DE1AA2"/>
    <w:rsid w:val="00E760A7"/>
    <w:rsid w:val="00EF15C4"/>
    <w:rsid w:val="00F33CCE"/>
    <w:rsid w:val="00F668F0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0478D-17F0-478E-BBB1-FDCB13A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AF1"/>
  </w:style>
  <w:style w:type="paragraph" w:styleId="Ttulo1">
    <w:name w:val="heading 1"/>
    <w:basedOn w:val="Normal"/>
    <w:next w:val="Normal"/>
    <w:link w:val="Ttulo1Car"/>
    <w:uiPriority w:val="9"/>
    <w:qFormat/>
    <w:rsid w:val="00BD5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5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1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16E"/>
  </w:style>
  <w:style w:type="paragraph" w:styleId="Piedepgina">
    <w:name w:val="footer"/>
    <w:basedOn w:val="Normal"/>
    <w:link w:val="PiedepginaCar"/>
    <w:uiPriority w:val="99"/>
    <w:unhideWhenUsed/>
    <w:rsid w:val="00F7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6E"/>
  </w:style>
  <w:style w:type="table" w:styleId="Tablaconcuadrcula">
    <w:name w:val="Table Grid"/>
    <w:basedOn w:val="Tablanormal"/>
    <w:uiPriority w:val="39"/>
    <w:rsid w:val="009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D5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D56D7"/>
    <w:pPr>
      <w:outlineLvl w:val="9"/>
    </w:pPr>
    <w:rPr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D5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56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D56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6D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56D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56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894A-812A-4333-B058-CA4DE6E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Garcia</dc:creator>
  <cp:keywords/>
  <dc:description/>
  <cp:lastModifiedBy>pc</cp:lastModifiedBy>
  <cp:revision>2</cp:revision>
  <cp:lastPrinted>2018-02-06T13:37:00Z</cp:lastPrinted>
  <dcterms:created xsi:type="dcterms:W3CDTF">2018-02-20T02:16:00Z</dcterms:created>
  <dcterms:modified xsi:type="dcterms:W3CDTF">2018-02-20T02:16:00Z</dcterms:modified>
</cp:coreProperties>
</file>