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49" w:rsidRPr="00980FD9" w:rsidRDefault="002A6AE9">
      <w:pPr>
        <w:rPr>
          <w:b/>
        </w:rPr>
      </w:pPr>
      <w:r w:rsidRPr="00980FD9">
        <w:rPr>
          <w:b/>
        </w:rPr>
        <w:t>Las Acciones Preferentes en el Ecuador</w:t>
      </w:r>
    </w:p>
    <w:p w:rsidR="00E55979" w:rsidRDefault="002A6AE9" w:rsidP="00E55979">
      <w:pPr>
        <w:ind w:firstLine="426"/>
        <w:rPr>
          <w:rFonts w:cs="Times New Roman"/>
          <w:szCs w:val="24"/>
        </w:rPr>
      </w:pPr>
      <w:r>
        <w:rPr>
          <w:rFonts w:cs="Times New Roman"/>
          <w:szCs w:val="24"/>
        </w:rPr>
        <w:t>El sector empresarial es uno de los más importantes en el Ecuador, y para su correcto funcionamiento es necesario contar con fuentes de financiamiento que permitan el movimiento dinámico de la economía.</w:t>
      </w:r>
    </w:p>
    <w:p w:rsidR="002C75D3" w:rsidRDefault="002C75D3" w:rsidP="00E55979">
      <w:pPr>
        <w:ind w:firstLine="426"/>
        <w:rPr>
          <w:rFonts w:cs="Times New Roman"/>
          <w:szCs w:val="24"/>
        </w:rPr>
      </w:pPr>
      <w:r>
        <w:rPr>
          <w:rFonts w:cs="Times New Roman"/>
          <w:szCs w:val="24"/>
        </w:rPr>
        <w:t>Este financiamiento tiene diferentes tipos, que pueden ser externos, como los otorgados por las entidades bancarias, o internos, a través de la emisión de obligaciones y acciones de la empresa.</w:t>
      </w:r>
    </w:p>
    <w:p w:rsidR="002C75D3" w:rsidRDefault="002C75D3" w:rsidP="00E55979">
      <w:pPr>
        <w:ind w:firstLine="426"/>
        <w:rPr>
          <w:rFonts w:cs="Times New Roman"/>
          <w:szCs w:val="24"/>
        </w:rPr>
      </w:pPr>
      <w:r>
        <w:rPr>
          <w:rFonts w:cs="Times New Roman"/>
          <w:szCs w:val="24"/>
        </w:rPr>
        <w:t xml:space="preserve">Dentro de este </w:t>
      </w:r>
      <w:r w:rsidR="00EB5BC7">
        <w:rPr>
          <w:rFonts w:cs="Times New Roman"/>
          <w:szCs w:val="24"/>
        </w:rPr>
        <w:t xml:space="preserve">contexto </w:t>
      </w:r>
      <w:r>
        <w:rPr>
          <w:rFonts w:cs="Times New Roman"/>
          <w:szCs w:val="24"/>
        </w:rPr>
        <w:t xml:space="preserve">se encuentran las acciones preferentes, que será el tema a tratar en el presente trabajo. Como una breve aproximación, se describe a las acciones preferentes </w:t>
      </w:r>
      <w:r w:rsidR="00BE1AA1">
        <w:rPr>
          <w:rFonts w:cs="Times New Roman"/>
          <w:szCs w:val="24"/>
        </w:rPr>
        <w:t>como aquellas que poseen las mismas características que las acciones ordinarias, pero que cuentan con un dividendo específico que se paga antes que se paguen los dividendos de las acciones ordinarias, e incluso, en caso de liquidación de la empresa, serán canceladas primero. Estas acciones representan una parte del capital de una empresa que se representa med</w:t>
      </w:r>
      <w:r w:rsidR="00980FD9">
        <w:rPr>
          <w:rFonts w:cs="Times New Roman"/>
          <w:szCs w:val="24"/>
        </w:rPr>
        <w:t>iante un título sin vencimiento, con la particularidad de que los accionistas tenedores de estas acciones no tienen derecho al voto.</w:t>
      </w:r>
    </w:p>
    <w:p w:rsidR="002A6AE9" w:rsidRDefault="002C75D3" w:rsidP="002C75D3">
      <w:pPr>
        <w:ind w:firstLine="426"/>
        <w:rPr>
          <w:rFonts w:cs="Times New Roman"/>
          <w:szCs w:val="24"/>
        </w:rPr>
      </w:pPr>
      <w:r w:rsidRPr="002C75D3">
        <w:rPr>
          <w:rFonts w:cs="Times New Roman"/>
          <w:szCs w:val="24"/>
        </w:rPr>
        <w:t>La mayoría de acciones preferentes paga dividendos trimestralmente con una  tasa promedio entre  el  5% a 9% anual,  incluso algunas pueden tener cláusulas de tasas ajustables</w:t>
      </w:r>
      <w:r w:rsidR="00BE1AA1">
        <w:rPr>
          <w:rStyle w:val="Refdenotaalpie"/>
          <w:rFonts w:cs="Times New Roman"/>
          <w:szCs w:val="24"/>
        </w:rPr>
        <w:footnoteReference w:id="1"/>
      </w:r>
      <w:r w:rsidRPr="002C75D3">
        <w:rPr>
          <w:rFonts w:cs="Times New Roman"/>
          <w:szCs w:val="24"/>
        </w:rPr>
        <w:t>.</w:t>
      </w:r>
    </w:p>
    <w:p w:rsidR="00980FD9" w:rsidRDefault="00980FD9" w:rsidP="002C75D3">
      <w:pPr>
        <w:ind w:firstLine="426"/>
        <w:rPr>
          <w:rFonts w:cs="Times New Roman"/>
          <w:szCs w:val="24"/>
        </w:rPr>
      </w:pPr>
      <w:r>
        <w:rPr>
          <w:rFonts w:cs="Times New Roman"/>
          <w:szCs w:val="24"/>
        </w:rPr>
        <w:t>Las acciones preferentes no ha sido una fuente de financiamiento muy utilizada en el Ecuador, ya que las compañías recurren en su mayoría a los métodos de financiamiento tradicionales, es por esto que a través de este estudio se pretende describir la aplicación de las acciones preferentes en el Ecuador, sus particularidades y sus posibles efectos en la economía del país.</w:t>
      </w:r>
      <w:bookmarkStart w:id="0" w:name="_GoBack"/>
      <w:bookmarkEnd w:id="0"/>
    </w:p>
    <w:p w:rsidR="00EB5BC7" w:rsidRPr="00E55979" w:rsidRDefault="00EB5BC7" w:rsidP="002C75D3">
      <w:pPr>
        <w:ind w:firstLine="426"/>
        <w:rPr>
          <w:rFonts w:cs="Times New Roman"/>
          <w:szCs w:val="24"/>
        </w:rPr>
      </w:pPr>
    </w:p>
    <w:p w:rsidR="00E55979" w:rsidRDefault="00E55979"/>
    <w:sectPr w:rsidR="00E559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800" w:rsidRDefault="00054800" w:rsidP="00BE1AA1">
      <w:pPr>
        <w:spacing w:after="0" w:line="240" w:lineRule="auto"/>
      </w:pPr>
      <w:r>
        <w:separator/>
      </w:r>
    </w:p>
  </w:endnote>
  <w:endnote w:type="continuationSeparator" w:id="0">
    <w:p w:rsidR="00054800" w:rsidRDefault="00054800" w:rsidP="00BE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800" w:rsidRDefault="00054800" w:rsidP="00BE1AA1">
      <w:pPr>
        <w:spacing w:after="0" w:line="240" w:lineRule="auto"/>
      </w:pPr>
      <w:r>
        <w:separator/>
      </w:r>
    </w:p>
  </w:footnote>
  <w:footnote w:type="continuationSeparator" w:id="0">
    <w:p w:rsidR="00054800" w:rsidRDefault="00054800" w:rsidP="00BE1AA1">
      <w:pPr>
        <w:spacing w:after="0" w:line="240" w:lineRule="auto"/>
      </w:pPr>
      <w:r>
        <w:continuationSeparator/>
      </w:r>
    </w:p>
  </w:footnote>
  <w:footnote w:id="1">
    <w:p w:rsidR="00BE1AA1" w:rsidRDefault="00BE1AA1">
      <w:pPr>
        <w:pStyle w:val="Textonotapie"/>
      </w:pPr>
      <w:r>
        <w:rPr>
          <w:rStyle w:val="Refdenotaalpie"/>
        </w:rPr>
        <w:footnoteRef/>
      </w:r>
      <w:r>
        <w:t xml:space="preserve"> Página web: </w:t>
      </w:r>
      <w:hyperlink r:id="rId1" w:history="1">
        <w:r w:rsidRPr="000E47C8">
          <w:rPr>
            <w:rStyle w:val="Hipervnculo"/>
          </w:rPr>
          <w:t>https://tradingcenter.wordpress.com/2009/11/09/que-son-las-acciones-preferentes/</w:t>
        </w:r>
      </w:hyperlink>
    </w:p>
    <w:p w:rsidR="00BE1AA1" w:rsidRDefault="00BE1AA1">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79"/>
    <w:rsid w:val="00054800"/>
    <w:rsid w:val="002A6AE9"/>
    <w:rsid w:val="002C75D3"/>
    <w:rsid w:val="003E4A9B"/>
    <w:rsid w:val="00784849"/>
    <w:rsid w:val="00980FD9"/>
    <w:rsid w:val="009B584F"/>
    <w:rsid w:val="00A17481"/>
    <w:rsid w:val="00B60F61"/>
    <w:rsid w:val="00BB2300"/>
    <w:rsid w:val="00BE1AA1"/>
    <w:rsid w:val="00E55979"/>
    <w:rsid w:val="00EB5BC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24CED-0E67-4435-973B-EA88855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E1A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1AA1"/>
    <w:rPr>
      <w:rFonts w:ascii="Times New Roman" w:hAnsi="Times New Roman"/>
      <w:sz w:val="20"/>
      <w:szCs w:val="20"/>
    </w:rPr>
  </w:style>
  <w:style w:type="character" w:styleId="Refdenotaalpie">
    <w:name w:val="footnote reference"/>
    <w:basedOn w:val="Fuentedeprrafopredeter"/>
    <w:uiPriority w:val="99"/>
    <w:semiHidden/>
    <w:unhideWhenUsed/>
    <w:rsid w:val="00BE1AA1"/>
    <w:rPr>
      <w:vertAlign w:val="superscript"/>
    </w:rPr>
  </w:style>
  <w:style w:type="character" w:styleId="Hipervnculo">
    <w:name w:val="Hyperlink"/>
    <w:basedOn w:val="Fuentedeprrafopredeter"/>
    <w:uiPriority w:val="99"/>
    <w:unhideWhenUsed/>
    <w:rsid w:val="00BE1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tradingcenter.wordpress.com/2009/11/09/que-son-las-acciones-prefere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807E2-6C6B-4424-87A0-390B8515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256</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Daniela</cp:lastModifiedBy>
  <cp:revision>7</cp:revision>
  <dcterms:created xsi:type="dcterms:W3CDTF">2018-06-08T00:38:00Z</dcterms:created>
  <dcterms:modified xsi:type="dcterms:W3CDTF">2018-06-08T01:39:00Z</dcterms:modified>
</cp:coreProperties>
</file>