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D4" w:rsidRDefault="001822D4" w:rsidP="001822D4">
      <w:pPr>
        <w:autoSpaceDE w:val="0"/>
        <w:autoSpaceDN w:val="0"/>
        <w:adjustRightInd w:val="0"/>
        <w:spacing w:after="0" w:line="240" w:lineRule="auto"/>
        <w:jc w:val="both"/>
        <w:rPr>
          <w:rStyle w:val="Textoennegrita"/>
          <w:rFonts w:cstheme="minorHAnsi"/>
          <w:color w:val="444444"/>
          <w:sz w:val="24"/>
          <w:szCs w:val="24"/>
          <w:shd w:val="clear" w:color="auto" w:fill="FFFFFF"/>
        </w:rPr>
      </w:pPr>
      <w:bookmarkStart w:id="0" w:name="_GoBack"/>
      <w:bookmarkEnd w:id="0"/>
      <w:r w:rsidRPr="00AA3C5E">
        <w:rPr>
          <w:rStyle w:val="Textoennegrita"/>
          <w:rFonts w:cstheme="minorHAnsi"/>
          <w:color w:val="444444"/>
          <w:sz w:val="24"/>
          <w:szCs w:val="24"/>
          <w:shd w:val="clear" w:color="auto" w:fill="FFFFFF"/>
        </w:rPr>
        <w:t xml:space="preserve">Justificación </w:t>
      </w:r>
      <w:r w:rsidR="006C409D">
        <w:rPr>
          <w:rStyle w:val="Textoennegrita"/>
          <w:rFonts w:cstheme="minorHAnsi"/>
          <w:color w:val="444444"/>
          <w:sz w:val="24"/>
          <w:szCs w:val="24"/>
          <w:shd w:val="clear" w:color="auto" w:fill="FFFFFF"/>
        </w:rPr>
        <w:t xml:space="preserve">categoría Educación </w:t>
      </w:r>
    </w:p>
    <w:p w:rsidR="00D01D6C" w:rsidRPr="00134145" w:rsidRDefault="00D01D6C" w:rsidP="001822D4">
      <w:pPr>
        <w:autoSpaceDE w:val="0"/>
        <w:autoSpaceDN w:val="0"/>
        <w:adjustRightInd w:val="0"/>
        <w:spacing w:after="0" w:line="240" w:lineRule="auto"/>
        <w:jc w:val="both"/>
        <w:rPr>
          <w:rStyle w:val="Textoennegrita"/>
          <w:rFonts w:cstheme="minorHAnsi"/>
          <w:b w:val="0"/>
          <w:color w:val="444444"/>
          <w:sz w:val="24"/>
          <w:szCs w:val="24"/>
          <w:shd w:val="clear" w:color="auto" w:fill="FFFFFF"/>
        </w:rPr>
      </w:pPr>
    </w:p>
    <w:p w:rsidR="001822D4" w:rsidRPr="00134145" w:rsidRDefault="001822D4" w:rsidP="001822D4">
      <w:pPr>
        <w:autoSpaceDE w:val="0"/>
        <w:autoSpaceDN w:val="0"/>
        <w:adjustRightInd w:val="0"/>
        <w:spacing w:after="0" w:line="240" w:lineRule="auto"/>
        <w:jc w:val="both"/>
        <w:rPr>
          <w:rFonts w:cstheme="minorHAnsi"/>
          <w:sz w:val="24"/>
          <w:szCs w:val="24"/>
        </w:rPr>
      </w:pPr>
      <w:r w:rsidRPr="00134145">
        <w:rPr>
          <w:rFonts w:cstheme="minorHAnsi"/>
          <w:sz w:val="24"/>
          <w:szCs w:val="24"/>
        </w:rPr>
        <w:t>La educación está consagrada como un derecho fundamental en Colombia. El artículo 67 de la Constitución Política la define como un servicio público que tiene una función social, que busca el acceso al conocimiento, a la ciencia, a la técnica y a los demás bienes y valores de la cultura.</w:t>
      </w:r>
      <w:sdt>
        <w:sdtPr>
          <w:rPr>
            <w:rFonts w:cstheme="minorHAnsi"/>
            <w:sz w:val="24"/>
            <w:szCs w:val="24"/>
          </w:rPr>
          <w:id w:val="692188928"/>
          <w:citation/>
        </w:sdtPr>
        <w:sdtEndPr/>
        <w:sdtContent>
          <w:r w:rsidRPr="00134145">
            <w:rPr>
              <w:rFonts w:cstheme="minorHAnsi"/>
              <w:sz w:val="24"/>
              <w:szCs w:val="24"/>
            </w:rPr>
            <w:fldChar w:fldCharType="begin"/>
          </w:r>
          <w:r w:rsidRPr="00134145">
            <w:rPr>
              <w:rFonts w:cstheme="minorHAnsi"/>
              <w:sz w:val="24"/>
              <w:szCs w:val="24"/>
              <w:lang w:val="es-CO"/>
            </w:rPr>
            <w:instrText xml:space="preserve"> CITATION MINsf \l 9226 </w:instrText>
          </w:r>
          <w:r w:rsidRPr="00134145">
            <w:rPr>
              <w:rFonts w:cstheme="minorHAnsi"/>
              <w:sz w:val="24"/>
              <w:szCs w:val="24"/>
            </w:rPr>
            <w:fldChar w:fldCharType="separate"/>
          </w:r>
          <w:r w:rsidRPr="00134145">
            <w:rPr>
              <w:rFonts w:cstheme="minorHAnsi"/>
              <w:noProof/>
              <w:sz w:val="24"/>
              <w:szCs w:val="24"/>
              <w:lang w:val="es-CO"/>
            </w:rPr>
            <w:t xml:space="preserve"> (MINEDUCACION, sf)</w:t>
          </w:r>
          <w:r w:rsidRPr="00134145">
            <w:rPr>
              <w:rFonts w:cstheme="minorHAnsi"/>
              <w:sz w:val="24"/>
              <w:szCs w:val="24"/>
            </w:rPr>
            <w:fldChar w:fldCharType="end"/>
          </w:r>
        </w:sdtContent>
      </w:sdt>
    </w:p>
    <w:p w:rsidR="001822D4" w:rsidRPr="00134145" w:rsidRDefault="001822D4" w:rsidP="001822D4">
      <w:pPr>
        <w:autoSpaceDE w:val="0"/>
        <w:autoSpaceDN w:val="0"/>
        <w:adjustRightInd w:val="0"/>
        <w:spacing w:after="0" w:line="240" w:lineRule="auto"/>
        <w:jc w:val="both"/>
        <w:rPr>
          <w:rFonts w:cstheme="minorHAnsi"/>
          <w:sz w:val="24"/>
          <w:szCs w:val="24"/>
        </w:rPr>
      </w:pPr>
    </w:p>
    <w:p w:rsidR="001822D4" w:rsidRPr="00134145" w:rsidRDefault="001822D4" w:rsidP="001822D4">
      <w:pPr>
        <w:autoSpaceDE w:val="0"/>
        <w:autoSpaceDN w:val="0"/>
        <w:adjustRightInd w:val="0"/>
        <w:spacing w:after="0" w:line="240" w:lineRule="auto"/>
        <w:jc w:val="both"/>
        <w:rPr>
          <w:rFonts w:cstheme="minorHAnsi"/>
          <w:sz w:val="24"/>
          <w:szCs w:val="24"/>
        </w:rPr>
      </w:pPr>
      <w:r w:rsidRPr="00134145">
        <w:rPr>
          <w:rFonts w:cstheme="minorHAnsi"/>
          <w:sz w:val="24"/>
          <w:szCs w:val="24"/>
        </w:rPr>
        <w:t xml:space="preserve">Además; Los gobiernos del mundo han puesto sus ojos en la educación como una poderosa herramienta de transformación, que facilita el fortalecimiento de la democracia, genera movilidad social y reduce las desigualdades sociales y económicas. La Organización de las Naciones Unidas pudo establecer, utilizando datos correspondientes a 114 países, entre 1985 y 2005, que un año más de educación está asociado directamente a una reducción de 1,4 puntos porcentuales del Coeficiente de Gini, principal indicador que mide la desigualdad. </w:t>
      </w:r>
      <w:sdt>
        <w:sdtPr>
          <w:rPr>
            <w:rFonts w:cstheme="minorHAnsi"/>
            <w:sz w:val="24"/>
            <w:szCs w:val="24"/>
          </w:rPr>
          <w:id w:val="-1787951800"/>
          <w:citation/>
        </w:sdtPr>
        <w:sdtEndPr/>
        <w:sdtContent>
          <w:r w:rsidRPr="00134145">
            <w:rPr>
              <w:rFonts w:cstheme="minorHAnsi"/>
              <w:sz w:val="24"/>
              <w:szCs w:val="24"/>
            </w:rPr>
            <w:fldChar w:fldCharType="begin"/>
          </w:r>
          <w:r w:rsidRPr="00134145">
            <w:rPr>
              <w:rFonts w:cstheme="minorHAnsi"/>
              <w:sz w:val="24"/>
              <w:szCs w:val="24"/>
              <w:lang w:val="es-CO"/>
            </w:rPr>
            <w:instrText xml:space="preserve"> CITATION MINsf \l 9226 </w:instrText>
          </w:r>
          <w:r w:rsidRPr="00134145">
            <w:rPr>
              <w:rFonts w:cstheme="minorHAnsi"/>
              <w:sz w:val="24"/>
              <w:szCs w:val="24"/>
            </w:rPr>
            <w:fldChar w:fldCharType="separate"/>
          </w:r>
          <w:r w:rsidRPr="00134145">
            <w:rPr>
              <w:rFonts w:cstheme="minorHAnsi"/>
              <w:noProof/>
              <w:sz w:val="24"/>
              <w:szCs w:val="24"/>
              <w:lang w:val="es-CO"/>
            </w:rPr>
            <w:t xml:space="preserve"> (MINEDUCACION, sf)</w:t>
          </w:r>
          <w:r w:rsidRPr="00134145">
            <w:rPr>
              <w:rFonts w:cstheme="minorHAnsi"/>
              <w:sz w:val="24"/>
              <w:szCs w:val="24"/>
            </w:rPr>
            <w:fldChar w:fldCharType="end"/>
          </w:r>
        </w:sdtContent>
      </w:sdt>
    </w:p>
    <w:p w:rsidR="001822D4" w:rsidRPr="00134145" w:rsidRDefault="001822D4" w:rsidP="001822D4">
      <w:pPr>
        <w:autoSpaceDE w:val="0"/>
        <w:autoSpaceDN w:val="0"/>
        <w:adjustRightInd w:val="0"/>
        <w:spacing w:after="0" w:line="240" w:lineRule="auto"/>
        <w:jc w:val="both"/>
        <w:rPr>
          <w:rFonts w:cstheme="minorHAnsi"/>
          <w:sz w:val="24"/>
          <w:szCs w:val="24"/>
        </w:rPr>
      </w:pPr>
    </w:p>
    <w:p w:rsidR="001822D4" w:rsidRPr="00134145" w:rsidRDefault="001822D4" w:rsidP="001822D4">
      <w:pPr>
        <w:autoSpaceDE w:val="0"/>
        <w:autoSpaceDN w:val="0"/>
        <w:adjustRightInd w:val="0"/>
        <w:spacing w:after="0" w:line="240" w:lineRule="auto"/>
        <w:jc w:val="both"/>
        <w:rPr>
          <w:rFonts w:cstheme="minorHAnsi"/>
          <w:sz w:val="24"/>
          <w:szCs w:val="24"/>
        </w:rPr>
      </w:pPr>
      <w:r w:rsidRPr="00134145">
        <w:rPr>
          <w:rFonts w:cstheme="minorHAnsi"/>
          <w:sz w:val="24"/>
          <w:szCs w:val="24"/>
        </w:rPr>
        <w:t>Desde la perspectiva anterior se comprende como desde el ámbito educativo  se debe  contribuir en el desarrollo de propuestas que fortalezcan la investigación, la ciencia y la tecnología, para propender por un desarrollo social, incluyente, sustentado en mejorar la calidad de vida de las personas de manera solidaria y sostenible con el medio ambiente.</w:t>
      </w:r>
    </w:p>
    <w:p w:rsidR="001822D4" w:rsidRDefault="001822D4" w:rsidP="001822D4">
      <w:pPr>
        <w:autoSpaceDE w:val="0"/>
        <w:autoSpaceDN w:val="0"/>
        <w:adjustRightInd w:val="0"/>
        <w:spacing w:after="0" w:line="240" w:lineRule="auto"/>
        <w:jc w:val="both"/>
        <w:rPr>
          <w:rFonts w:cstheme="minorHAnsi"/>
          <w:sz w:val="24"/>
          <w:szCs w:val="24"/>
        </w:rPr>
      </w:pPr>
    </w:p>
    <w:p w:rsidR="00134145" w:rsidRPr="00134145" w:rsidRDefault="00134145" w:rsidP="00134145">
      <w:pPr>
        <w:autoSpaceDE w:val="0"/>
        <w:autoSpaceDN w:val="0"/>
        <w:adjustRightInd w:val="0"/>
        <w:spacing w:after="0" w:line="240" w:lineRule="auto"/>
        <w:jc w:val="both"/>
        <w:rPr>
          <w:sz w:val="24"/>
          <w:szCs w:val="24"/>
        </w:rPr>
      </w:pPr>
      <w:r w:rsidRPr="00134145">
        <w:rPr>
          <w:sz w:val="24"/>
          <w:szCs w:val="24"/>
        </w:rPr>
        <w:t xml:space="preserve">La educación es un derecho fundamental y la base del progreso de cualquier país. Los padres necesitan tener conocimientos sobre salud y nutrición para poder brindar a sus hijos la infancia que se merecen. Para ser prósperos, los países necesitan trabajadores cualificados y educados. Los desafíos de la erradicación de la pobreza, la lucha contra el cambio climático y el logro de un desarrollo verdaderamente sostenible en los próximos decenios nos conminan a actuar juntos. Con colaboración, liderazgo y unas inversiones acertadas en educación podemos transformar la vida de las personas, las economías de los países y nuestro mundo en general. — BAN KI-MOON, SECRETARIO GENERAL DE LAS NACIONES UNIDAS. Citado por </w:t>
      </w:r>
      <w:sdt>
        <w:sdtPr>
          <w:rPr>
            <w:sz w:val="24"/>
            <w:szCs w:val="24"/>
          </w:rPr>
          <w:id w:val="-1742093693"/>
          <w:citation/>
        </w:sdtPr>
        <w:sdtEndPr/>
        <w:sdtContent>
          <w:r w:rsidRPr="00134145">
            <w:rPr>
              <w:sz w:val="24"/>
              <w:szCs w:val="24"/>
            </w:rPr>
            <w:fldChar w:fldCharType="begin"/>
          </w:r>
          <w:r w:rsidRPr="00134145">
            <w:rPr>
              <w:sz w:val="24"/>
              <w:szCs w:val="24"/>
              <w:lang w:val="es-CO"/>
            </w:rPr>
            <w:instrText xml:space="preserve"> CITATION UNEsf \l 9226 </w:instrText>
          </w:r>
          <w:r w:rsidRPr="00134145">
            <w:rPr>
              <w:sz w:val="24"/>
              <w:szCs w:val="24"/>
            </w:rPr>
            <w:fldChar w:fldCharType="separate"/>
          </w:r>
          <w:r w:rsidRPr="00134145">
            <w:rPr>
              <w:noProof/>
              <w:sz w:val="24"/>
              <w:szCs w:val="24"/>
              <w:lang w:val="es-CO"/>
            </w:rPr>
            <w:t>(UNESCO, sf)</w:t>
          </w:r>
          <w:r w:rsidRPr="00134145">
            <w:rPr>
              <w:sz w:val="24"/>
              <w:szCs w:val="24"/>
            </w:rPr>
            <w:fldChar w:fldCharType="end"/>
          </w:r>
        </w:sdtContent>
      </w:sdt>
    </w:p>
    <w:p w:rsidR="00134145" w:rsidRPr="00134145" w:rsidRDefault="00134145" w:rsidP="00134145">
      <w:pPr>
        <w:autoSpaceDE w:val="0"/>
        <w:autoSpaceDN w:val="0"/>
        <w:adjustRightInd w:val="0"/>
        <w:spacing w:after="0" w:line="240" w:lineRule="auto"/>
        <w:jc w:val="both"/>
        <w:rPr>
          <w:sz w:val="24"/>
          <w:szCs w:val="24"/>
        </w:rPr>
      </w:pPr>
    </w:p>
    <w:p w:rsidR="00134145" w:rsidRDefault="00134145" w:rsidP="00134145">
      <w:pPr>
        <w:autoSpaceDE w:val="0"/>
        <w:autoSpaceDN w:val="0"/>
        <w:adjustRightInd w:val="0"/>
        <w:spacing w:after="0" w:line="240" w:lineRule="auto"/>
        <w:jc w:val="both"/>
        <w:rPr>
          <w:sz w:val="24"/>
          <w:szCs w:val="24"/>
        </w:rPr>
      </w:pPr>
      <w:r w:rsidRPr="00134145">
        <w:rPr>
          <w:sz w:val="24"/>
          <w:szCs w:val="24"/>
        </w:rPr>
        <w:t xml:space="preserve">La educación ayuda a proteger a los trabajadores y las trabajadoras contra la explotación al dar lugar a un aumento de las oportunidades de obtener contratos seguros. En El Salvador, solo el 5% de los trabajadores que no han terminado la enseñanza primaria tiene contrato de trabajo, algo que los hace muy vulnerables. En cambio, el 47% de los trabajadores que han cursado la enseñanza secundaria cuenta con un contrato firmado. </w:t>
      </w:r>
      <w:sdt>
        <w:sdtPr>
          <w:rPr>
            <w:sz w:val="24"/>
            <w:szCs w:val="24"/>
          </w:rPr>
          <w:id w:val="-705106139"/>
          <w:citation/>
        </w:sdtPr>
        <w:sdtEndPr/>
        <w:sdtContent>
          <w:r w:rsidRPr="00134145">
            <w:rPr>
              <w:sz w:val="24"/>
              <w:szCs w:val="24"/>
            </w:rPr>
            <w:fldChar w:fldCharType="begin"/>
          </w:r>
          <w:r w:rsidRPr="00134145">
            <w:rPr>
              <w:sz w:val="24"/>
              <w:szCs w:val="24"/>
              <w:lang w:val="es-CO"/>
            </w:rPr>
            <w:instrText xml:space="preserve"> CITATION UNEsf \l 9226 </w:instrText>
          </w:r>
          <w:r w:rsidRPr="00134145">
            <w:rPr>
              <w:sz w:val="24"/>
              <w:szCs w:val="24"/>
            </w:rPr>
            <w:fldChar w:fldCharType="separate"/>
          </w:r>
          <w:r w:rsidRPr="00134145">
            <w:rPr>
              <w:noProof/>
              <w:sz w:val="24"/>
              <w:szCs w:val="24"/>
              <w:lang w:val="es-CO"/>
            </w:rPr>
            <w:t>(UNESCO, sf)</w:t>
          </w:r>
          <w:r w:rsidRPr="00134145">
            <w:rPr>
              <w:sz w:val="24"/>
              <w:szCs w:val="24"/>
            </w:rPr>
            <w:fldChar w:fldCharType="end"/>
          </w:r>
        </w:sdtContent>
      </w:sdt>
    </w:p>
    <w:p w:rsidR="00134145" w:rsidRDefault="00134145" w:rsidP="00134145">
      <w:pPr>
        <w:autoSpaceDE w:val="0"/>
        <w:autoSpaceDN w:val="0"/>
        <w:adjustRightInd w:val="0"/>
        <w:spacing w:after="0" w:line="240" w:lineRule="auto"/>
        <w:jc w:val="both"/>
        <w:rPr>
          <w:rFonts w:cstheme="minorHAnsi"/>
          <w:sz w:val="24"/>
          <w:szCs w:val="24"/>
        </w:rPr>
      </w:pPr>
    </w:p>
    <w:p w:rsidR="00134145" w:rsidRPr="006C409D" w:rsidRDefault="00134145" w:rsidP="00134145">
      <w:pPr>
        <w:autoSpaceDE w:val="0"/>
        <w:autoSpaceDN w:val="0"/>
        <w:adjustRightInd w:val="0"/>
        <w:spacing w:after="0" w:line="240" w:lineRule="auto"/>
        <w:jc w:val="both"/>
        <w:rPr>
          <w:color w:val="000000" w:themeColor="text1"/>
        </w:rPr>
      </w:pPr>
      <w:r w:rsidRPr="006C409D">
        <w:rPr>
          <w:rFonts w:ascii="Gothic720BT-RomanB" w:hAnsi="Gothic720BT-RomanB" w:cs="Gothic720BT-RomanB"/>
          <w:color w:val="000000" w:themeColor="text1"/>
          <w:sz w:val="24"/>
          <w:szCs w:val="24"/>
          <w:lang w:val="es-CO"/>
        </w:rPr>
        <w:t>E</w:t>
      </w:r>
      <w:r w:rsidRPr="006C409D">
        <w:rPr>
          <w:rFonts w:cstheme="minorHAnsi"/>
          <w:color w:val="000000" w:themeColor="text1"/>
          <w:sz w:val="24"/>
          <w:szCs w:val="24"/>
          <w:lang w:val="es-CO"/>
        </w:rPr>
        <w:t xml:space="preserve">n conclusión </w:t>
      </w:r>
      <w:r w:rsidRPr="006C409D">
        <w:rPr>
          <w:rFonts w:ascii="Gothic720BT-RomanB" w:hAnsi="Gothic720BT-RomanB" w:cs="Gothic720BT-RomanB"/>
          <w:color w:val="000000" w:themeColor="text1"/>
          <w:sz w:val="24"/>
          <w:szCs w:val="24"/>
          <w:lang w:val="es-CO"/>
        </w:rPr>
        <w:t>desde el ámbito educativo se puede aportar tanto en el reconocimiento  de las problemáticas que vive el</w:t>
      </w:r>
      <w:r w:rsidR="006C409D" w:rsidRPr="006C409D">
        <w:rPr>
          <w:rFonts w:ascii="Gothic720BT-RomanB" w:hAnsi="Gothic720BT-RomanB" w:cs="Gothic720BT-RomanB"/>
          <w:color w:val="000000" w:themeColor="text1"/>
          <w:sz w:val="24"/>
          <w:szCs w:val="24"/>
          <w:lang w:val="es-CO"/>
        </w:rPr>
        <w:t xml:space="preserve"> municipio del</w:t>
      </w:r>
      <w:r w:rsidRPr="006C409D">
        <w:rPr>
          <w:rFonts w:ascii="Gothic720BT-RomanB" w:hAnsi="Gothic720BT-RomanB" w:cs="Gothic720BT-RomanB"/>
          <w:color w:val="000000" w:themeColor="text1"/>
          <w:sz w:val="24"/>
          <w:szCs w:val="24"/>
          <w:lang w:val="es-CO"/>
        </w:rPr>
        <w:t xml:space="preserve"> Patía como el desarrollo de estrategias enfocadas a cambiar esa realidad. Según </w:t>
      </w:r>
      <w:sdt>
        <w:sdtPr>
          <w:rPr>
            <w:color w:val="000000" w:themeColor="text1"/>
          </w:rPr>
          <w:id w:val="-1545665486"/>
          <w:citation/>
        </w:sdtPr>
        <w:sdtEndPr/>
        <w:sdtContent>
          <w:r w:rsidRPr="006C409D">
            <w:rPr>
              <w:color w:val="000000" w:themeColor="text1"/>
            </w:rPr>
            <w:fldChar w:fldCharType="begin"/>
          </w:r>
          <w:r w:rsidRPr="006C409D">
            <w:rPr>
              <w:color w:val="000000" w:themeColor="text1"/>
              <w:lang w:val="es-CO"/>
            </w:rPr>
            <w:instrText xml:space="preserve"> CITATION UNEsf \l 9226 </w:instrText>
          </w:r>
          <w:r w:rsidRPr="006C409D">
            <w:rPr>
              <w:color w:val="000000" w:themeColor="text1"/>
            </w:rPr>
            <w:fldChar w:fldCharType="separate"/>
          </w:r>
          <w:r w:rsidRPr="006C409D">
            <w:rPr>
              <w:noProof/>
              <w:color w:val="000000" w:themeColor="text1"/>
              <w:lang w:val="es-CO"/>
            </w:rPr>
            <w:t>(UNESCO, sf)</w:t>
          </w:r>
          <w:r w:rsidRPr="006C409D">
            <w:rPr>
              <w:color w:val="000000" w:themeColor="text1"/>
            </w:rPr>
            <w:fldChar w:fldCharType="end"/>
          </w:r>
        </w:sdtContent>
      </w:sdt>
      <w:r w:rsidRPr="006C409D">
        <w:rPr>
          <w:color w:val="000000" w:themeColor="text1"/>
        </w:rPr>
        <w:t xml:space="preserve">, La educación contribuye a un aumento de los ingresos de los agricultores. En los países de bajos ingresos, la mayor parte de la población no recibe un salario con regularidad, sino que, por el contrario, depende de la agricultura. Los agricultores con estudios pueden interpretar y responder mejor a la información nueva para, por </w:t>
      </w:r>
      <w:r w:rsidRPr="006C409D">
        <w:rPr>
          <w:color w:val="000000" w:themeColor="text1"/>
        </w:rPr>
        <w:lastRenderedPageBreak/>
        <w:t>ejemplo, utilizar más provechosamente los abonos, adoptar medidas de conservación del suelo y de lucha contra la erosión.</w:t>
      </w:r>
    </w:p>
    <w:p w:rsidR="00134145" w:rsidRDefault="00134145" w:rsidP="00134145">
      <w:pPr>
        <w:autoSpaceDE w:val="0"/>
        <w:autoSpaceDN w:val="0"/>
        <w:adjustRightInd w:val="0"/>
        <w:spacing w:after="0" w:line="240" w:lineRule="auto"/>
        <w:jc w:val="both"/>
      </w:pPr>
    </w:p>
    <w:p w:rsidR="00134145" w:rsidRDefault="00134145" w:rsidP="00134145">
      <w:pPr>
        <w:autoSpaceDE w:val="0"/>
        <w:autoSpaceDN w:val="0"/>
        <w:adjustRightInd w:val="0"/>
        <w:spacing w:after="0" w:line="240" w:lineRule="auto"/>
        <w:jc w:val="both"/>
        <w:rPr>
          <w:rFonts w:cstheme="minorHAnsi"/>
          <w:sz w:val="24"/>
          <w:szCs w:val="24"/>
        </w:rPr>
      </w:pPr>
    </w:p>
    <w:sdt>
      <w:sdtPr>
        <w:rPr>
          <w:rFonts w:asciiTheme="minorHAnsi" w:eastAsiaTheme="minorHAnsi" w:hAnsiTheme="minorHAnsi" w:cstheme="minorBidi"/>
          <w:b w:val="0"/>
          <w:bCs w:val="0"/>
          <w:color w:val="auto"/>
          <w:sz w:val="22"/>
          <w:szCs w:val="22"/>
          <w:lang w:eastAsia="en-US"/>
        </w:rPr>
        <w:id w:val="1272354594"/>
        <w:docPartObj>
          <w:docPartGallery w:val="Bibliographies"/>
          <w:docPartUnique/>
        </w:docPartObj>
      </w:sdtPr>
      <w:sdtEndPr/>
      <w:sdtContent>
        <w:p w:rsidR="00134145" w:rsidRDefault="00134145" w:rsidP="00134145">
          <w:pPr>
            <w:pStyle w:val="Ttulo1"/>
          </w:pPr>
          <w:r>
            <w:t>Trabajos citados</w:t>
          </w:r>
          <w:r>
            <w:rPr>
              <w:b w:val="0"/>
              <w:bCs w:val="0"/>
            </w:rPr>
            <w:fldChar w:fldCharType="begin"/>
          </w:r>
          <w:r>
            <w:instrText>BIBLIOGRAPHY</w:instrText>
          </w:r>
          <w:r>
            <w:rPr>
              <w:b w:val="0"/>
              <w:bCs w:val="0"/>
            </w:rPr>
            <w:fldChar w:fldCharType="end"/>
          </w:r>
          <w:r>
            <w:rPr>
              <w:b w:val="0"/>
              <w:bCs w:val="0"/>
            </w:rPr>
            <w:fldChar w:fldCharType="begin"/>
          </w:r>
          <w:r>
            <w:instrText>BIBLIOGRAPHY</w:instrText>
          </w:r>
          <w:r>
            <w:rPr>
              <w:b w:val="0"/>
              <w:bCs w:val="0"/>
            </w:rPr>
            <w:fldChar w:fldCharType="separate"/>
          </w:r>
        </w:p>
        <w:p w:rsidR="00134145" w:rsidRDefault="00134145" w:rsidP="00134145">
          <w:pPr>
            <w:pStyle w:val="Bibliografa"/>
            <w:ind w:left="720" w:hanging="720"/>
            <w:rPr>
              <w:noProof/>
            </w:rPr>
          </w:pPr>
          <w:r>
            <w:rPr>
              <w:noProof/>
            </w:rPr>
            <w:t xml:space="preserve">MINEDUCACION. (sf). </w:t>
          </w:r>
          <w:r>
            <w:rPr>
              <w:i/>
              <w:iCs/>
              <w:noProof/>
            </w:rPr>
            <w:t>PLAN NACIONAL DECENAL DE EDUCACIÓN 2016-2026: EL CAMINO HACIA LA CALIDAD Y LA EQUIDAD</w:t>
          </w:r>
          <w:r>
            <w:rPr>
              <w:noProof/>
            </w:rPr>
            <w:t>. Recuperado el 10 de octubre de 2018, de http://www.plandecenal.edu.co/cms/images/PLAN%20NACIONAL%20DECENAL%20DE%20EDUCACION%202DA%20EDICION_271117.pdf</w:t>
          </w:r>
        </w:p>
        <w:p w:rsidR="00134145" w:rsidRDefault="00134145" w:rsidP="00134145">
          <w:pPr>
            <w:pStyle w:val="Bibliografa"/>
            <w:ind w:left="720" w:hanging="720"/>
            <w:rPr>
              <w:noProof/>
            </w:rPr>
          </w:pPr>
          <w:r>
            <w:rPr>
              <w:noProof/>
            </w:rPr>
            <w:t xml:space="preserve">UNESCO. (sf). </w:t>
          </w:r>
          <w:r>
            <w:rPr>
              <w:i/>
              <w:iCs/>
              <w:noProof/>
            </w:rPr>
            <w:t>EL DESARROLLO SOSTENIBLE COMIENZA POR LA EDUCACIÓN</w:t>
          </w:r>
          <w:r>
            <w:rPr>
              <w:noProof/>
            </w:rPr>
            <w:t>. Recuperado el 11 de octubre de 2018, de http://unesdoc.unesco.org/images/0023/002305/230508s.pdf</w:t>
          </w:r>
        </w:p>
        <w:p w:rsidR="00134145" w:rsidRPr="00134145" w:rsidRDefault="00134145" w:rsidP="00134145"/>
        <w:p w:rsidR="00134145" w:rsidRDefault="00134145" w:rsidP="00134145">
          <w:r>
            <w:rPr>
              <w:b/>
              <w:bCs/>
            </w:rPr>
            <w:fldChar w:fldCharType="end"/>
          </w:r>
        </w:p>
      </w:sdtContent>
    </w:sdt>
    <w:p w:rsidR="00134145" w:rsidRPr="00134145" w:rsidRDefault="00134145" w:rsidP="00134145">
      <w:pPr>
        <w:autoSpaceDE w:val="0"/>
        <w:autoSpaceDN w:val="0"/>
        <w:adjustRightInd w:val="0"/>
        <w:spacing w:after="0" w:line="240" w:lineRule="auto"/>
        <w:jc w:val="both"/>
        <w:rPr>
          <w:rFonts w:cstheme="minorHAnsi"/>
          <w:sz w:val="24"/>
          <w:szCs w:val="24"/>
        </w:rPr>
      </w:pPr>
    </w:p>
    <w:p w:rsidR="001822D4" w:rsidRPr="00134145" w:rsidRDefault="001822D4" w:rsidP="001822D4">
      <w:pPr>
        <w:autoSpaceDE w:val="0"/>
        <w:autoSpaceDN w:val="0"/>
        <w:adjustRightInd w:val="0"/>
        <w:spacing w:after="0" w:line="240" w:lineRule="auto"/>
        <w:jc w:val="both"/>
        <w:rPr>
          <w:rFonts w:cstheme="minorHAnsi"/>
          <w:sz w:val="24"/>
          <w:szCs w:val="24"/>
        </w:rPr>
      </w:pPr>
    </w:p>
    <w:p w:rsidR="001822D4" w:rsidRDefault="001822D4"/>
    <w:p w:rsidR="001822D4" w:rsidRDefault="001822D4"/>
    <w:sectPr w:rsidR="001822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EC" w:rsidRDefault="005719EC" w:rsidP="008D3DD9">
      <w:pPr>
        <w:spacing w:after="0" w:line="240" w:lineRule="auto"/>
      </w:pPr>
      <w:r>
        <w:separator/>
      </w:r>
    </w:p>
  </w:endnote>
  <w:endnote w:type="continuationSeparator" w:id="0">
    <w:p w:rsidR="005719EC" w:rsidRDefault="005719EC" w:rsidP="008D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thic720BT-RomanB">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EC" w:rsidRDefault="005719EC" w:rsidP="008D3DD9">
      <w:pPr>
        <w:spacing w:after="0" w:line="240" w:lineRule="auto"/>
      </w:pPr>
      <w:r>
        <w:separator/>
      </w:r>
    </w:p>
  </w:footnote>
  <w:footnote w:type="continuationSeparator" w:id="0">
    <w:p w:rsidR="005719EC" w:rsidRDefault="005719EC" w:rsidP="008D3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D4"/>
    <w:rsid w:val="00080421"/>
    <w:rsid w:val="00134145"/>
    <w:rsid w:val="001822D4"/>
    <w:rsid w:val="0028607F"/>
    <w:rsid w:val="005719EC"/>
    <w:rsid w:val="006C409D"/>
    <w:rsid w:val="008D3DD9"/>
    <w:rsid w:val="00D01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D4"/>
    <w:pPr>
      <w:spacing w:after="200" w:line="276" w:lineRule="auto"/>
    </w:pPr>
    <w:rPr>
      <w:lang w:val="es-ES"/>
    </w:rPr>
  </w:style>
  <w:style w:type="paragraph" w:styleId="Ttulo1">
    <w:name w:val="heading 1"/>
    <w:basedOn w:val="Normal"/>
    <w:next w:val="Normal"/>
    <w:link w:val="Ttulo1Car"/>
    <w:uiPriority w:val="9"/>
    <w:qFormat/>
    <w:rsid w:val="00134145"/>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822D4"/>
    <w:rPr>
      <w:b/>
      <w:bCs/>
    </w:rPr>
  </w:style>
  <w:style w:type="character" w:customStyle="1" w:styleId="Ttulo1Car">
    <w:name w:val="Título 1 Car"/>
    <w:basedOn w:val="Fuentedeprrafopredeter"/>
    <w:link w:val="Ttulo1"/>
    <w:uiPriority w:val="9"/>
    <w:rsid w:val="00134145"/>
    <w:rPr>
      <w:rFonts w:asciiTheme="majorHAnsi" w:eastAsiaTheme="majorEastAsia" w:hAnsiTheme="majorHAnsi" w:cstheme="majorBidi"/>
      <w:b/>
      <w:bCs/>
      <w:color w:val="2F5496" w:themeColor="accent1" w:themeShade="BF"/>
      <w:sz w:val="28"/>
      <w:szCs w:val="28"/>
      <w:lang w:val="es-ES" w:eastAsia="es-ES"/>
    </w:rPr>
  </w:style>
  <w:style w:type="paragraph" w:styleId="Bibliografa">
    <w:name w:val="Bibliography"/>
    <w:basedOn w:val="Normal"/>
    <w:next w:val="Normal"/>
    <w:uiPriority w:val="37"/>
    <w:unhideWhenUsed/>
    <w:rsid w:val="00134145"/>
  </w:style>
  <w:style w:type="paragraph" w:styleId="Encabezado">
    <w:name w:val="header"/>
    <w:basedOn w:val="Normal"/>
    <w:link w:val="EncabezadoCar"/>
    <w:uiPriority w:val="99"/>
    <w:unhideWhenUsed/>
    <w:rsid w:val="008D3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DD9"/>
    <w:rPr>
      <w:lang w:val="es-ES"/>
    </w:rPr>
  </w:style>
  <w:style w:type="paragraph" w:styleId="Piedepgina">
    <w:name w:val="footer"/>
    <w:basedOn w:val="Normal"/>
    <w:link w:val="PiedepginaCar"/>
    <w:uiPriority w:val="99"/>
    <w:unhideWhenUsed/>
    <w:rsid w:val="008D3D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DD9"/>
    <w:rPr>
      <w:lang w:val="es-ES"/>
    </w:rPr>
  </w:style>
  <w:style w:type="paragraph" w:styleId="Textodeglobo">
    <w:name w:val="Balloon Text"/>
    <w:basedOn w:val="Normal"/>
    <w:link w:val="TextodegloboCar"/>
    <w:uiPriority w:val="99"/>
    <w:semiHidden/>
    <w:unhideWhenUsed/>
    <w:rsid w:val="0008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421"/>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D4"/>
    <w:pPr>
      <w:spacing w:after="200" w:line="276" w:lineRule="auto"/>
    </w:pPr>
    <w:rPr>
      <w:lang w:val="es-ES"/>
    </w:rPr>
  </w:style>
  <w:style w:type="paragraph" w:styleId="Ttulo1">
    <w:name w:val="heading 1"/>
    <w:basedOn w:val="Normal"/>
    <w:next w:val="Normal"/>
    <w:link w:val="Ttulo1Car"/>
    <w:uiPriority w:val="9"/>
    <w:qFormat/>
    <w:rsid w:val="00134145"/>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822D4"/>
    <w:rPr>
      <w:b/>
      <w:bCs/>
    </w:rPr>
  </w:style>
  <w:style w:type="character" w:customStyle="1" w:styleId="Ttulo1Car">
    <w:name w:val="Título 1 Car"/>
    <w:basedOn w:val="Fuentedeprrafopredeter"/>
    <w:link w:val="Ttulo1"/>
    <w:uiPriority w:val="9"/>
    <w:rsid w:val="00134145"/>
    <w:rPr>
      <w:rFonts w:asciiTheme="majorHAnsi" w:eastAsiaTheme="majorEastAsia" w:hAnsiTheme="majorHAnsi" w:cstheme="majorBidi"/>
      <w:b/>
      <w:bCs/>
      <w:color w:val="2F5496" w:themeColor="accent1" w:themeShade="BF"/>
      <w:sz w:val="28"/>
      <w:szCs w:val="28"/>
      <w:lang w:val="es-ES" w:eastAsia="es-ES"/>
    </w:rPr>
  </w:style>
  <w:style w:type="paragraph" w:styleId="Bibliografa">
    <w:name w:val="Bibliography"/>
    <w:basedOn w:val="Normal"/>
    <w:next w:val="Normal"/>
    <w:uiPriority w:val="37"/>
    <w:unhideWhenUsed/>
    <w:rsid w:val="00134145"/>
  </w:style>
  <w:style w:type="paragraph" w:styleId="Encabezado">
    <w:name w:val="header"/>
    <w:basedOn w:val="Normal"/>
    <w:link w:val="EncabezadoCar"/>
    <w:uiPriority w:val="99"/>
    <w:unhideWhenUsed/>
    <w:rsid w:val="008D3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DD9"/>
    <w:rPr>
      <w:lang w:val="es-ES"/>
    </w:rPr>
  </w:style>
  <w:style w:type="paragraph" w:styleId="Piedepgina">
    <w:name w:val="footer"/>
    <w:basedOn w:val="Normal"/>
    <w:link w:val="PiedepginaCar"/>
    <w:uiPriority w:val="99"/>
    <w:unhideWhenUsed/>
    <w:rsid w:val="008D3D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DD9"/>
    <w:rPr>
      <w:lang w:val="es-ES"/>
    </w:rPr>
  </w:style>
  <w:style w:type="paragraph" w:styleId="Textodeglobo">
    <w:name w:val="Balloon Text"/>
    <w:basedOn w:val="Normal"/>
    <w:link w:val="TextodegloboCar"/>
    <w:uiPriority w:val="99"/>
    <w:semiHidden/>
    <w:unhideWhenUsed/>
    <w:rsid w:val="0008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42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MINsf</b:Tag>
    <b:SourceType>InternetSite</b:SourceType>
    <b:Guid>{1BE1575E-5C32-44F6-93DB-0DCD24D6B27A}</b:Guid>
    <b:Author>
      <b:Author>
        <b:NameList>
          <b:Person>
            <b:Last>MINEDUCACION</b:Last>
          </b:Person>
        </b:NameList>
      </b:Author>
    </b:Author>
    <b:Title>PLAN NACIONAL DECENAL DE EDUCACIÓN 2016-2026: EL CAMINO HACIA LA CALIDAD Y LA EQUIDAD</b:Title>
    <b:Year>sf</b:Year>
    <b:URL>http://www.plandecenal.edu.co/cms/images/PLAN%20NACIONAL%20DECENAL%20DE%20EDUCACION%202DA%20EDICION_271117.pdf</b:URL>
    <b:YearAccessed>2018</b:YearAccessed>
    <b:MonthAccessed>octubre</b:MonthAccessed>
    <b:DayAccessed>10</b:DayAccessed>
    <b:RefOrder>2</b:RefOrder>
  </b:Source>
  <b:Source>
    <b:Tag>UNEsf</b:Tag>
    <b:SourceType>InternetSite</b:SourceType>
    <b:Guid>{5F24C3CB-30FC-42BA-81DB-EB5E915C5FB3}</b:Guid>
    <b:Author>
      <b:Author>
        <b:NameList>
          <b:Person>
            <b:Last>UNESCO</b:Last>
          </b:Person>
        </b:NameList>
      </b:Author>
    </b:Author>
    <b:Title>EL DESARROLLO SOSTENIBLE COMIENZA POR LA EDUCACIÓN</b:Title>
    <b:Year>sf</b:Year>
    <b:URL>http://unesdoc.unesco.org/images/0023/002305/230508s.pdf</b:URL>
    <b:YearAccessed>2018</b:YearAccessed>
    <b:MonthAccessed>octubre</b:MonthAccessed>
    <b:DayAccessed>11</b:DayAccessed>
    <b:RefOrder>3</b:RefOrder>
  </b:Source>
  <b:Source>
    <b:Tag>Osc10</b:Tag>
    <b:SourceType>InternetSite</b:SourceType>
    <b:Guid>{24380C88-3EA0-474C-8F7A-728042748A3B}</b:Guid>
    <b:Title>REGIÓN: CARACTERÍSTICAS DEL ESCENARIO INVESTIGATIVO</b:Title>
    <b:InternetSiteTitle>UNAD</b:InternetSiteTitle>
    <b:Year>2010</b:Year>
    <b:URL>https://www.flipsnack.com/jcramos/region-caracterizacion-del-escenario-investigativo.html</b:URL>
    <b:Author>
      <b:Author>
        <b:NameList>
          <b:Person>
            <b:Last>Acosta</b:Last>
            <b:First>Oscar</b:First>
            <b:Middle>Benavides</b:Middle>
          </b:Person>
          <b:Person>
            <b:Last>Cuesta</b:Last>
            <b:First>Carlos</b:First>
            <b:Middle>Didier Quintero</b:Middle>
          </b:Person>
        </b:NameList>
      </b:Author>
    </b:Author>
    <b:YearAccessed>2018</b:YearAccessed>
    <b:MonthAccessed>Septiembre</b:MonthAccessed>
    <b:DayAccessed>2</b:DayAccessed>
    <b:RefOrder>5</b:RefOrder>
  </b:Source>
  <b:Source>
    <b:Tag>CAUsf</b:Tag>
    <b:SourceType>InternetSite</b:SourceType>
    <b:Guid>{2CAEAF78-17FE-4316-B202-2696F00945F0}</b:Guid>
    <b:Author>
      <b:Author>
        <b:NameList>
          <b:Person>
            <b:Last>CAUCA</b:Last>
            <b:First>GOBERNACION</b:First>
            <b:Middle>DEL</b:Middle>
          </b:Person>
        </b:NameList>
      </b:Author>
    </b:Author>
    <b:Title>GOBERNACION DEL CAUCA</b:Title>
    <b:InternetSiteTitle>LINEA BASE INDICADORES SOCIOECONÓMICOS SANTANDER DE QUILICHAO</b:InternetSiteTitle>
    <b:Year>sf</b:Year>
    <b:URL>https://www.cauca.gov.co/sites/default/files/informes/santander_de_quilichao.pdf</b:URL>
    <b:YearAccessed>2018</b:YearAccessed>
    <b:MonthAccessed>OCTUBRE</b:MonthAccessed>
    <b:DayAccessed>2</b:DayAccessed>
    <b:RefOrder>1</b:RefOrder>
  </b:Source>
  <b:Source>
    <b:Tag>Sol15</b:Tag>
    <b:SourceType>InternetSite</b:SourceType>
    <b:Guid>{F9CE297F-4BEA-4B50-A18F-3A33AD988725}</b:Guid>
    <b:Author>
      <b:Author>
        <b:NameList>
          <b:Person>
            <b:Last>Solano</b:Last>
            <b:First>Alex</b:First>
            <b:Middle>Smith Araque</b:Middle>
          </b:Person>
        </b:NameList>
      </b:Author>
    </b:Author>
    <b:Title>La configuración regional en Colombia 1993-2005</b:Title>
    <b:InternetSiteTitle>Revista Lasallista de Investigación </b:InternetSiteTitle>
    <b:Year>2015</b:Year>
    <b:URL>http://repository.lasallista.edu.co:8080/ojs/index.php/rldi/article/view/804/557</b:URL>
    <b:YearAccessed>2018</b:YearAccessed>
    <b:MonthAccessed>octubre</b:MonthAccessed>
    <b:DayAccessed>11</b:DayAccessed>
    <b:RefOrder>4</b:RefOrder>
  </b:Source>
</b:Sources>
</file>

<file path=customXml/itemProps1.xml><?xml version="1.0" encoding="utf-8"?>
<ds:datastoreItem xmlns:ds="http://schemas.openxmlformats.org/officeDocument/2006/customXml" ds:itemID="{7C40D7F4-CE4C-4547-914B-22B52B1B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adrian navia alvarez</dc:creator>
  <cp:lastModifiedBy>SIMPERIUM</cp:lastModifiedBy>
  <cp:revision>2</cp:revision>
  <dcterms:created xsi:type="dcterms:W3CDTF">2018-10-17T10:11:00Z</dcterms:created>
  <dcterms:modified xsi:type="dcterms:W3CDTF">2018-10-17T10:11:00Z</dcterms:modified>
</cp:coreProperties>
</file>