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54" w:rsidRPr="00702154" w:rsidRDefault="00702154" w:rsidP="00702154">
      <w:pPr>
        <w:shd w:val="clear" w:color="auto" w:fill="FFFFFF"/>
        <w:spacing w:after="150" w:line="336" w:lineRule="atLeast"/>
        <w:outlineLvl w:val="2"/>
        <w:rPr>
          <w:rFonts w:ascii="Helvetica" w:eastAsia="Times New Roman" w:hAnsi="Helvetica" w:cs="Helvetica"/>
          <w:b/>
          <w:bCs/>
          <w:color w:val="313131"/>
          <w:sz w:val="29"/>
          <w:szCs w:val="29"/>
          <w:lang w:eastAsia="es-EC"/>
        </w:rPr>
      </w:pPr>
      <w:r w:rsidRPr="00702154">
        <w:rPr>
          <w:rFonts w:ascii="Arial" w:eastAsia="Times New Roman" w:hAnsi="Arial" w:cs="Arial"/>
          <w:b/>
          <w:bCs/>
          <w:color w:val="313131"/>
          <w:sz w:val="29"/>
          <w:szCs w:val="29"/>
          <w:lang w:eastAsia="es-EC"/>
        </w:rPr>
        <w:t>Módulo 1: ¿Cómo se financia un país?</w:t>
      </w:r>
    </w:p>
    <w:p w:rsidR="00702154" w:rsidRPr="00702154" w:rsidRDefault="00702154" w:rsidP="00F71A10">
      <w:pPr>
        <w:numPr>
          <w:ilvl w:val="0"/>
          <w:numId w:val="1"/>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Ingresos públicos</w:t>
      </w:r>
      <w:r w:rsidRPr="00702154">
        <w:rPr>
          <w:rFonts w:ascii="Arial" w:eastAsia="Times New Roman" w:hAnsi="Arial" w:cs="Arial"/>
          <w:color w:val="313131"/>
          <w:sz w:val="24"/>
          <w:szCs w:val="24"/>
          <w:lang w:eastAsia="es-EC"/>
        </w:rPr>
        <w:t xml:space="preserve">: el dinero que ingresa un país año a año y que le permite </w:t>
      </w:r>
      <w:bookmarkStart w:id="0" w:name="_GoBack"/>
      <w:bookmarkEnd w:id="0"/>
      <w:r w:rsidRPr="00702154">
        <w:rPr>
          <w:rFonts w:ascii="Arial" w:eastAsia="Times New Roman" w:hAnsi="Arial" w:cs="Arial"/>
          <w:color w:val="313131"/>
          <w:sz w:val="24"/>
          <w:szCs w:val="24"/>
          <w:lang w:eastAsia="es-EC"/>
        </w:rPr>
        <w:t>cubrir sus gastos.</w:t>
      </w:r>
    </w:p>
    <w:p w:rsidR="00702154" w:rsidRPr="00702154" w:rsidRDefault="00702154" w:rsidP="00F71A10">
      <w:pPr>
        <w:numPr>
          <w:ilvl w:val="0"/>
          <w:numId w:val="1"/>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Impuestos directos</w:t>
      </w:r>
      <w:r w:rsidRPr="00702154">
        <w:rPr>
          <w:rFonts w:ascii="Arial" w:eastAsia="Times New Roman" w:hAnsi="Arial" w:cs="Arial"/>
          <w:color w:val="313131"/>
          <w:sz w:val="24"/>
          <w:szCs w:val="24"/>
          <w:lang w:eastAsia="es-EC"/>
        </w:rPr>
        <w:t xml:space="preserve">: pagos obligatorios que los ciudadanos o entidades realizan al Gobierno de acuerdo a sus fuentes de riqueza, </w:t>
      </w:r>
      <w:proofErr w:type="gramStart"/>
      <w:r w:rsidRPr="00702154">
        <w:rPr>
          <w:rFonts w:ascii="Arial" w:eastAsia="Times New Roman" w:hAnsi="Arial" w:cs="Arial"/>
          <w:color w:val="313131"/>
          <w:sz w:val="24"/>
          <w:szCs w:val="24"/>
          <w:lang w:eastAsia="es-EC"/>
        </w:rPr>
        <w:t>como</w:t>
      </w:r>
      <w:proofErr w:type="gramEnd"/>
      <w:r w:rsidRPr="00702154">
        <w:rPr>
          <w:rFonts w:ascii="Arial" w:eastAsia="Times New Roman" w:hAnsi="Arial" w:cs="Arial"/>
          <w:color w:val="313131"/>
          <w:sz w:val="24"/>
          <w:szCs w:val="24"/>
          <w:lang w:eastAsia="es-EC"/>
        </w:rPr>
        <w:t xml:space="preserve"> por ejemplo, cuando se es dueño de una casa o vehículo.</w:t>
      </w:r>
    </w:p>
    <w:p w:rsidR="00702154" w:rsidRPr="00702154" w:rsidRDefault="00702154" w:rsidP="00F71A10">
      <w:pPr>
        <w:numPr>
          <w:ilvl w:val="0"/>
          <w:numId w:val="1"/>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Impuestos indirectos</w:t>
      </w:r>
      <w:r w:rsidRPr="00702154">
        <w:rPr>
          <w:rFonts w:ascii="Arial" w:eastAsia="Times New Roman" w:hAnsi="Arial" w:cs="Arial"/>
          <w:color w:val="313131"/>
          <w:sz w:val="24"/>
          <w:szCs w:val="24"/>
          <w:lang w:eastAsia="es-EC"/>
        </w:rPr>
        <w:t xml:space="preserve">: son aquellos pagos obligatorios que recaen sobre el consumo de algún producto o mercancía, </w:t>
      </w:r>
      <w:proofErr w:type="gramStart"/>
      <w:r w:rsidRPr="00702154">
        <w:rPr>
          <w:rFonts w:ascii="Arial" w:eastAsia="Times New Roman" w:hAnsi="Arial" w:cs="Arial"/>
          <w:color w:val="313131"/>
          <w:sz w:val="24"/>
          <w:szCs w:val="24"/>
          <w:lang w:eastAsia="es-EC"/>
        </w:rPr>
        <w:t>como</w:t>
      </w:r>
      <w:proofErr w:type="gramEnd"/>
      <w:r w:rsidRPr="00702154">
        <w:rPr>
          <w:rFonts w:ascii="Arial" w:eastAsia="Times New Roman" w:hAnsi="Arial" w:cs="Arial"/>
          <w:color w:val="313131"/>
          <w:sz w:val="24"/>
          <w:szCs w:val="24"/>
          <w:lang w:eastAsia="es-EC"/>
        </w:rPr>
        <w:t xml:space="preserve"> por ejemplo, el índice de precios al consumidor (IVA).</w:t>
      </w:r>
    </w:p>
    <w:p w:rsidR="00702154" w:rsidRPr="00702154" w:rsidRDefault="00702154" w:rsidP="00F71A10">
      <w:pPr>
        <w:numPr>
          <w:ilvl w:val="0"/>
          <w:numId w:val="1"/>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Ingresos tributarios</w:t>
      </w:r>
      <w:r w:rsidRPr="00702154">
        <w:rPr>
          <w:rFonts w:ascii="Arial" w:eastAsia="Times New Roman" w:hAnsi="Arial" w:cs="Arial"/>
          <w:color w:val="313131"/>
          <w:sz w:val="24"/>
          <w:szCs w:val="24"/>
          <w:lang w:eastAsia="es-EC"/>
        </w:rPr>
        <w:t>: son los ingresos de un país que provienen de los impuestos.</w:t>
      </w:r>
    </w:p>
    <w:p w:rsidR="00702154" w:rsidRPr="00702154" w:rsidRDefault="00702154" w:rsidP="00F71A10">
      <w:pPr>
        <w:numPr>
          <w:ilvl w:val="0"/>
          <w:numId w:val="1"/>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Contribuciones sociales</w:t>
      </w:r>
      <w:r w:rsidRPr="00702154">
        <w:rPr>
          <w:rFonts w:ascii="Arial" w:eastAsia="Times New Roman" w:hAnsi="Arial" w:cs="Arial"/>
          <w:color w:val="313131"/>
          <w:sz w:val="24"/>
          <w:szCs w:val="24"/>
          <w:lang w:eastAsia="es-EC"/>
        </w:rPr>
        <w:t>: son los pagos que realizan ciudadanos y organizaciones a la seguridad social con el fin de acceder a beneficios, tales como la jubilación.</w:t>
      </w:r>
    </w:p>
    <w:p w:rsidR="00702154" w:rsidRPr="00702154" w:rsidRDefault="00702154" w:rsidP="00F71A10">
      <w:pPr>
        <w:numPr>
          <w:ilvl w:val="0"/>
          <w:numId w:val="1"/>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Gasto público</w:t>
      </w:r>
      <w:r w:rsidRPr="00702154">
        <w:rPr>
          <w:rFonts w:ascii="Arial" w:eastAsia="Times New Roman" w:hAnsi="Arial" w:cs="Arial"/>
          <w:color w:val="313131"/>
          <w:sz w:val="24"/>
          <w:szCs w:val="24"/>
          <w:lang w:eastAsia="es-EC"/>
        </w:rPr>
        <w:t>: son los compromisos de pago que tiene un Gobierno, los que se dividen en gastos corrientes e inversiones.</w:t>
      </w:r>
    </w:p>
    <w:p w:rsidR="00702154" w:rsidRPr="00702154" w:rsidRDefault="00702154" w:rsidP="00F71A10">
      <w:pPr>
        <w:numPr>
          <w:ilvl w:val="0"/>
          <w:numId w:val="1"/>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Gastos corrientes</w:t>
      </w:r>
      <w:r w:rsidRPr="00702154">
        <w:rPr>
          <w:rFonts w:ascii="Arial" w:eastAsia="Times New Roman" w:hAnsi="Arial" w:cs="Arial"/>
          <w:color w:val="313131"/>
          <w:sz w:val="24"/>
          <w:szCs w:val="24"/>
          <w:lang w:eastAsia="es-EC"/>
        </w:rPr>
        <w:t>: son aquellos gastos que cubren el funcionamiento de un Gobierno y sus programas, como los salarios públicos, subsidios sociales o el pago de los intereses de la deuda.</w:t>
      </w:r>
    </w:p>
    <w:p w:rsidR="00702154" w:rsidRPr="00702154" w:rsidRDefault="00702154" w:rsidP="00F71A10">
      <w:pPr>
        <w:numPr>
          <w:ilvl w:val="0"/>
          <w:numId w:val="1"/>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Inversiones</w:t>
      </w:r>
      <w:r w:rsidRPr="00702154">
        <w:rPr>
          <w:rFonts w:ascii="Arial" w:eastAsia="Times New Roman" w:hAnsi="Arial" w:cs="Arial"/>
          <w:color w:val="313131"/>
          <w:sz w:val="24"/>
          <w:szCs w:val="24"/>
          <w:lang w:eastAsia="es-EC"/>
        </w:rPr>
        <w:t>: son los gastos en infraestructura pública esenciales para el país, como el transporte, las escuelas o los hospitales</w:t>
      </w:r>
    </w:p>
    <w:p w:rsidR="00702154" w:rsidRPr="00702154" w:rsidRDefault="00702154" w:rsidP="00F71A10">
      <w:pPr>
        <w:numPr>
          <w:ilvl w:val="0"/>
          <w:numId w:val="1"/>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Análisis costo-beneficio</w:t>
      </w:r>
      <w:r w:rsidRPr="00702154">
        <w:rPr>
          <w:rFonts w:ascii="Arial" w:eastAsia="Times New Roman" w:hAnsi="Arial" w:cs="Arial"/>
          <w:color w:val="313131"/>
          <w:sz w:val="24"/>
          <w:szCs w:val="24"/>
          <w:lang w:eastAsia="es-EC"/>
        </w:rPr>
        <w:t>: metodología que busca identificar la relación entre las ventajas de la aplicación de una política respecto al costo que implica, antes de tomar la decisión de promulgarla.</w:t>
      </w:r>
    </w:p>
    <w:p w:rsidR="00702154" w:rsidRPr="00702154" w:rsidRDefault="00702154" w:rsidP="00F71A10">
      <w:pPr>
        <w:shd w:val="clear" w:color="auto" w:fill="FFFFFF"/>
        <w:spacing w:after="150" w:line="336" w:lineRule="atLeast"/>
        <w:jc w:val="both"/>
        <w:outlineLvl w:val="2"/>
        <w:rPr>
          <w:rFonts w:ascii="Helvetica" w:eastAsia="Times New Roman" w:hAnsi="Helvetica" w:cs="Helvetica"/>
          <w:b/>
          <w:bCs/>
          <w:color w:val="313131"/>
          <w:sz w:val="29"/>
          <w:szCs w:val="29"/>
          <w:lang w:eastAsia="es-EC"/>
        </w:rPr>
      </w:pPr>
      <w:r w:rsidRPr="00702154">
        <w:rPr>
          <w:rFonts w:ascii="Arial" w:eastAsia="Times New Roman" w:hAnsi="Arial" w:cs="Arial"/>
          <w:b/>
          <w:bCs/>
          <w:color w:val="313131"/>
          <w:sz w:val="29"/>
          <w:szCs w:val="29"/>
          <w:lang w:eastAsia="es-EC"/>
        </w:rPr>
        <w:t>Módulo 2: Definiendo el presupuesto de un país</w:t>
      </w:r>
    </w:p>
    <w:p w:rsidR="00702154" w:rsidRPr="00702154" w:rsidRDefault="00702154" w:rsidP="00F71A10">
      <w:pPr>
        <w:numPr>
          <w:ilvl w:val="0"/>
          <w:numId w:val="2"/>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Proceso presupuestario</w:t>
      </w:r>
      <w:r w:rsidRPr="00702154">
        <w:rPr>
          <w:rFonts w:ascii="Arial" w:eastAsia="Times New Roman" w:hAnsi="Arial" w:cs="Arial"/>
          <w:color w:val="313131"/>
          <w:sz w:val="24"/>
          <w:szCs w:val="24"/>
          <w:lang w:eastAsia="es-EC"/>
        </w:rPr>
        <w:t>: mecanismo institucional a través del cual se elaboran, discuten, modifican y aprueban los presupuestos de un país.</w:t>
      </w:r>
    </w:p>
    <w:p w:rsidR="00702154" w:rsidRPr="00702154" w:rsidRDefault="00702154" w:rsidP="00F71A10">
      <w:pPr>
        <w:numPr>
          <w:ilvl w:val="0"/>
          <w:numId w:val="2"/>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Autoridad Presupuestaria Central (APC)</w:t>
      </w:r>
      <w:r w:rsidRPr="00702154">
        <w:rPr>
          <w:rFonts w:ascii="Arial" w:eastAsia="Times New Roman" w:hAnsi="Arial" w:cs="Arial"/>
          <w:color w:val="313131"/>
          <w:sz w:val="24"/>
          <w:szCs w:val="24"/>
          <w:lang w:eastAsia="es-EC"/>
        </w:rPr>
        <w:t>: es la oficina encargada de liderar el proceso presupuestario y, por lo tanto, tiene la capacidad de influir en los mecanismos institucionales para la elaboración del presupuesto.</w:t>
      </w:r>
    </w:p>
    <w:p w:rsidR="00702154" w:rsidRPr="00702154" w:rsidRDefault="00702154" w:rsidP="00F71A10">
      <w:pPr>
        <w:numPr>
          <w:ilvl w:val="0"/>
          <w:numId w:val="2"/>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Techo de gasto</w:t>
      </w:r>
      <w:r w:rsidRPr="00702154">
        <w:rPr>
          <w:rFonts w:ascii="Arial" w:eastAsia="Times New Roman" w:hAnsi="Arial" w:cs="Arial"/>
          <w:color w:val="313131"/>
          <w:sz w:val="24"/>
          <w:szCs w:val="24"/>
          <w:lang w:eastAsia="es-EC"/>
        </w:rPr>
        <w:t>: mecanismo que establece cuál es el monto máximo que pueden gastar las administraciones.</w:t>
      </w:r>
    </w:p>
    <w:p w:rsidR="00702154" w:rsidRPr="00702154" w:rsidRDefault="00702154" w:rsidP="00F71A10">
      <w:pPr>
        <w:numPr>
          <w:ilvl w:val="0"/>
          <w:numId w:val="2"/>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lastRenderedPageBreak/>
        <w:t>Transparencia presupuestaria</w:t>
      </w:r>
      <w:r w:rsidRPr="00702154">
        <w:rPr>
          <w:rFonts w:ascii="Arial" w:eastAsia="Times New Roman" w:hAnsi="Arial" w:cs="Arial"/>
          <w:color w:val="313131"/>
          <w:sz w:val="24"/>
          <w:szCs w:val="24"/>
          <w:lang w:eastAsia="es-EC"/>
        </w:rPr>
        <w:t>: es la publicación de la información fiscal relevante de manera adecuada y sistemática por parte de los Gobiernos.</w:t>
      </w:r>
    </w:p>
    <w:p w:rsidR="00702154" w:rsidRPr="00702154" w:rsidRDefault="00702154" w:rsidP="00F71A10">
      <w:pPr>
        <w:numPr>
          <w:ilvl w:val="0"/>
          <w:numId w:val="2"/>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Proyecciones fiscales</w:t>
      </w:r>
      <w:r w:rsidRPr="00702154">
        <w:rPr>
          <w:rFonts w:ascii="Arial" w:eastAsia="Times New Roman" w:hAnsi="Arial" w:cs="Arial"/>
          <w:color w:val="313131"/>
          <w:sz w:val="24"/>
          <w:szCs w:val="24"/>
          <w:lang w:eastAsia="es-EC"/>
        </w:rPr>
        <w:t>: mecanismos que permiten prever circunstancias (como la evolución demográfica o los indicadores macroeconómicos) que puedan afectar la viabilidad de los presupuestos a medio y largo plazo.</w:t>
      </w:r>
    </w:p>
    <w:p w:rsidR="00702154" w:rsidRPr="00702154" w:rsidRDefault="00702154" w:rsidP="00F71A10">
      <w:pPr>
        <w:numPr>
          <w:ilvl w:val="0"/>
          <w:numId w:val="2"/>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Presupuestos complementarios</w:t>
      </w:r>
      <w:r w:rsidRPr="00702154">
        <w:rPr>
          <w:rFonts w:ascii="Arial" w:eastAsia="Times New Roman" w:hAnsi="Arial" w:cs="Arial"/>
          <w:color w:val="313131"/>
          <w:sz w:val="24"/>
          <w:szCs w:val="24"/>
          <w:lang w:eastAsia="es-EC"/>
        </w:rPr>
        <w:t>: contienen propuestas de enmiendas al presupuesto principal anual. Este es el mecanismo con el que el Gobierno busca la aprobación legislativa para el gasto que difiere del presupuesto y asignaciones originales.</w:t>
      </w:r>
    </w:p>
    <w:p w:rsidR="00702154" w:rsidRPr="00702154" w:rsidRDefault="00702154" w:rsidP="00F71A10">
      <w:pPr>
        <w:numPr>
          <w:ilvl w:val="0"/>
          <w:numId w:val="2"/>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Fondo de reserva</w:t>
      </w:r>
      <w:r w:rsidRPr="00702154">
        <w:rPr>
          <w:rFonts w:ascii="Arial" w:eastAsia="Times New Roman" w:hAnsi="Arial" w:cs="Arial"/>
          <w:color w:val="313131"/>
          <w:sz w:val="24"/>
          <w:szCs w:val="24"/>
          <w:lang w:eastAsia="es-EC"/>
        </w:rPr>
        <w:t>: es un fondo separado destinado a satisfacer necesidades imprevistas e inevitables que puedan surgir durante el año fiscal, tales como desastres naturales o conflictos armados.</w:t>
      </w:r>
    </w:p>
    <w:p w:rsidR="00702154" w:rsidRPr="00702154" w:rsidRDefault="00702154" w:rsidP="00F71A10">
      <w:pPr>
        <w:shd w:val="clear" w:color="auto" w:fill="FFFFFF"/>
        <w:spacing w:after="150" w:line="336" w:lineRule="atLeast"/>
        <w:jc w:val="both"/>
        <w:outlineLvl w:val="2"/>
        <w:rPr>
          <w:rFonts w:ascii="Helvetica" w:eastAsia="Times New Roman" w:hAnsi="Helvetica" w:cs="Helvetica"/>
          <w:b/>
          <w:bCs/>
          <w:color w:val="313131"/>
          <w:sz w:val="29"/>
          <w:szCs w:val="29"/>
          <w:lang w:eastAsia="es-EC"/>
        </w:rPr>
      </w:pPr>
      <w:r w:rsidRPr="00702154">
        <w:rPr>
          <w:rFonts w:ascii="Arial" w:eastAsia="Times New Roman" w:hAnsi="Arial" w:cs="Arial"/>
          <w:b/>
          <w:bCs/>
          <w:color w:val="313131"/>
          <w:sz w:val="29"/>
          <w:szCs w:val="29"/>
          <w:lang w:eastAsia="es-EC"/>
        </w:rPr>
        <w:t>Módulo 3: El rol de los Centros de Gobierno (</w:t>
      </w:r>
      <w:proofErr w:type="spellStart"/>
      <w:r w:rsidRPr="00702154">
        <w:rPr>
          <w:rFonts w:ascii="Arial" w:eastAsia="Times New Roman" w:hAnsi="Arial" w:cs="Arial"/>
          <w:b/>
          <w:bCs/>
          <w:color w:val="313131"/>
          <w:sz w:val="29"/>
          <w:szCs w:val="29"/>
          <w:lang w:eastAsia="es-EC"/>
        </w:rPr>
        <w:t>CdG</w:t>
      </w:r>
      <w:proofErr w:type="spellEnd"/>
      <w:r w:rsidRPr="00702154">
        <w:rPr>
          <w:rFonts w:ascii="Arial" w:eastAsia="Times New Roman" w:hAnsi="Arial" w:cs="Arial"/>
          <w:b/>
          <w:bCs/>
          <w:color w:val="313131"/>
          <w:sz w:val="29"/>
          <w:szCs w:val="29"/>
          <w:lang w:eastAsia="es-EC"/>
        </w:rPr>
        <w:t>)</w:t>
      </w:r>
    </w:p>
    <w:p w:rsidR="00702154" w:rsidRPr="00702154" w:rsidRDefault="00702154" w:rsidP="00F71A10">
      <w:pPr>
        <w:numPr>
          <w:ilvl w:val="0"/>
          <w:numId w:val="3"/>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Centro de Gobierno (</w:t>
      </w:r>
      <w:proofErr w:type="spellStart"/>
      <w:r w:rsidRPr="00702154">
        <w:rPr>
          <w:rFonts w:ascii="Arial" w:eastAsia="Times New Roman" w:hAnsi="Arial" w:cs="Arial"/>
          <w:b/>
          <w:bCs/>
          <w:color w:val="313131"/>
          <w:sz w:val="24"/>
          <w:szCs w:val="24"/>
          <w:lang w:eastAsia="es-EC"/>
        </w:rPr>
        <w:t>CdG</w:t>
      </w:r>
      <w:proofErr w:type="spellEnd"/>
      <w:r w:rsidRPr="00702154">
        <w:rPr>
          <w:rFonts w:ascii="Arial" w:eastAsia="Times New Roman" w:hAnsi="Arial" w:cs="Arial"/>
          <w:b/>
          <w:bCs/>
          <w:color w:val="313131"/>
          <w:sz w:val="24"/>
          <w:szCs w:val="24"/>
          <w:lang w:eastAsia="es-EC"/>
        </w:rPr>
        <w:t>)</w:t>
      </w:r>
      <w:r w:rsidRPr="00702154">
        <w:rPr>
          <w:rFonts w:ascii="Arial" w:eastAsia="Times New Roman" w:hAnsi="Arial" w:cs="Arial"/>
          <w:color w:val="313131"/>
          <w:sz w:val="24"/>
          <w:szCs w:val="24"/>
          <w:lang w:eastAsia="es-EC"/>
        </w:rPr>
        <w:t>: es un comité de apoyo y coordinación a la presidencia que tiene 4 funciones principales: asegurar que todas las voces sean escuchadas, gestionar las metas prioritarias, alinear las metas con el presupuesto y monitorear las decisiones tomadas.</w:t>
      </w:r>
    </w:p>
    <w:p w:rsidR="00702154" w:rsidRPr="00702154" w:rsidRDefault="00702154" w:rsidP="00F71A10">
      <w:pPr>
        <w:numPr>
          <w:ilvl w:val="0"/>
          <w:numId w:val="3"/>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Programas multisectoriales</w:t>
      </w:r>
      <w:r w:rsidRPr="00702154">
        <w:rPr>
          <w:rFonts w:ascii="Arial" w:eastAsia="Times New Roman" w:hAnsi="Arial" w:cs="Arial"/>
          <w:color w:val="313131"/>
          <w:sz w:val="24"/>
          <w:szCs w:val="24"/>
          <w:lang w:eastAsia="es-EC"/>
        </w:rPr>
        <w:t>: iniciativas que abordan desafíos que, por su naturaleza, no pertenecen a un único sector o responsable. El enfoque multisectorial supone la coordinación de recursos e iniciativas a través de todos los sectores, involucrando tanto a instituciones gubernamentales como a la sociedad civil.</w:t>
      </w:r>
    </w:p>
    <w:p w:rsidR="00702154" w:rsidRPr="00702154" w:rsidRDefault="00702154" w:rsidP="00F71A10">
      <w:pPr>
        <w:shd w:val="clear" w:color="auto" w:fill="FFFFFF"/>
        <w:spacing w:after="150" w:line="336" w:lineRule="atLeast"/>
        <w:jc w:val="both"/>
        <w:outlineLvl w:val="2"/>
        <w:rPr>
          <w:rFonts w:ascii="Helvetica" w:eastAsia="Times New Roman" w:hAnsi="Helvetica" w:cs="Helvetica"/>
          <w:b/>
          <w:bCs/>
          <w:color w:val="313131"/>
          <w:sz w:val="29"/>
          <w:szCs w:val="29"/>
          <w:lang w:eastAsia="es-EC"/>
        </w:rPr>
      </w:pPr>
      <w:r w:rsidRPr="00702154">
        <w:rPr>
          <w:rFonts w:ascii="Arial" w:eastAsia="Times New Roman" w:hAnsi="Arial" w:cs="Arial"/>
          <w:b/>
          <w:bCs/>
          <w:color w:val="313131"/>
          <w:sz w:val="29"/>
          <w:szCs w:val="29"/>
          <w:lang w:eastAsia="es-EC"/>
        </w:rPr>
        <w:t>Módulo 4: Política y gobernanza regulatoria: asegurando normas de calidad </w:t>
      </w:r>
    </w:p>
    <w:p w:rsidR="00702154" w:rsidRPr="00702154" w:rsidRDefault="00702154" w:rsidP="00F71A10">
      <w:pPr>
        <w:numPr>
          <w:ilvl w:val="0"/>
          <w:numId w:val="4"/>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Regulaciones: </w:t>
      </w:r>
      <w:r w:rsidRPr="00702154">
        <w:rPr>
          <w:rFonts w:ascii="Arial" w:eastAsia="Times New Roman" w:hAnsi="Arial" w:cs="Arial"/>
          <w:color w:val="313131"/>
          <w:sz w:val="24"/>
          <w:szCs w:val="24"/>
          <w:lang w:eastAsia="es-EC"/>
        </w:rPr>
        <w:t>son las reglas que gobiernan el día a día de empresas y ciudadanos y una de las herramientas fundamentales mediante las cuales los Gobiernos promueven la prosperidad económica, aumentan el bienestar social y persiguen el interés público.</w:t>
      </w:r>
    </w:p>
    <w:p w:rsidR="00702154" w:rsidRPr="00702154" w:rsidRDefault="00702154" w:rsidP="00F71A10">
      <w:pPr>
        <w:numPr>
          <w:ilvl w:val="0"/>
          <w:numId w:val="4"/>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Gobernanza regulatoria</w:t>
      </w:r>
      <w:r w:rsidRPr="00702154">
        <w:rPr>
          <w:rFonts w:ascii="inherit" w:eastAsia="Times New Roman" w:hAnsi="inherit" w:cs="Arial"/>
          <w:color w:val="313131"/>
          <w:sz w:val="24"/>
          <w:szCs w:val="24"/>
          <w:lang w:eastAsia="es-EC"/>
        </w:rPr>
        <w:t>: es el instrumento del Gobierno para establecer las normas a seguir por ciudadanos y empresas y monitorear los impactos de estas normas, lo que permite medir la calidad de las mismas.</w:t>
      </w:r>
    </w:p>
    <w:p w:rsidR="00702154" w:rsidRPr="00702154" w:rsidRDefault="00702154" w:rsidP="00F71A10">
      <w:pPr>
        <w:numPr>
          <w:ilvl w:val="0"/>
          <w:numId w:val="4"/>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Análisis de Impacto Regulatorio (AIR)</w:t>
      </w:r>
      <w:r w:rsidRPr="00702154">
        <w:rPr>
          <w:rFonts w:ascii="inherit" w:eastAsia="Times New Roman" w:hAnsi="inherit" w:cs="Arial"/>
          <w:color w:val="313131"/>
          <w:sz w:val="24"/>
          <w:szCs w:val="24"/>
          <w:lang w:eastAsia="es-EC"/>
        </w:rPr>
        <w:t>: herramienta de política pública fundamental que ofrece a quienes toman decisiones, información detallada sobre los efectos potenciales de medidas regulatorias en la economía, el medio ambiente o en el ámbito social.</w:t>
      </w:r>
    </w:p>
    <w:p w:rsidR="00702154" w:rsidRPr="00702154" w:rsidRDefault="00702154" w:rsidP="00F71A10">
      <w:pPr>
        <w:numPr>
          <w:ilvl w:val="0"/>
          <w:numId w:val="4"/>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lastRenderedPageBreak/>
        <w:t>Evaluación ex-post</w:t>
      </w:r>
      <w:r w:rsidRPr="00702154">
        <w:rPr>
          <w:rFonts w:ascii="Arial" w:eastAsia="Times New Roman" w:hAnsi="Arial" w:cs="Arial"/>
          <w:color w:val="313131"/>
          <w:sz w:val="24"/>
          <w:szCs w:val="24"/>
          <w:lang w:eastAsia="es-EC"/>
        </w:rPr>
        <w:t>: metodología que permite evaluar la efectividad de una regulación una vez que está en vigencia. Esta evaluación incluye las incidencias directas e indirectas y las consecuencias no anticipadas.</w:t>
      </w:r>
    </w:p>
    <w:p w:rsidR="00702154" w:rsidRPr="00702154" w:rsidRDefault="00702154" w:rsidP="00F71A10">
      <w:pPr>
        <w:numPr>
          <w:ilvl w:val="0"/>
          <w:numId w:val="4"/>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Simplificación administrativa</w:t>
      </w:r>
      <w:r w:rsidRPr="00702154">
        <w:rPr>
          <w:rFonts w:ascii="inherit" w:eastAsia="Times New Roman" w:hAnsi="inherit" w:cs="Arial"/>
          <w:color w:val="313131"/>
          <w:sz w:val="24"/>
          <w:szCs w:val="24"/>
          <w:lang w:eastAsia="es-EC"/>
        </w:rPr>
        <w:t>: herramienta que trata de reducir los requisitos administrativos para cumplir con la regulación y pasa por una simple revisión de normas hasta la cuantificación de las cargas administrativas del Estado.</w:t>
      </w:r>
    </w:p>
    <w:p w:rsidR="00702154" w:rsidRPr="00702154" w:rsidRDefault="00702154" w:rsidP="00F71A10">
      <w:pPr>
        <w:shd w:val="clear" w:color="auto" w:fill="FFFFFF"/>
        <w:spacing w:after="150" w:line="336" w:lineRule="atLeast"/>
        <w:jc w:val="both"/>
        <w:outlineLvl w:val="2"/>
        <w:rPr>
          <w:rFonts w:ascii="Helvetica" w:eastAsia="Times New Roman" w:hAnsi="Helvetica" w:cs="Helvetica"/>
          <w:b/>
          <w:bCs/>
          <w:color w:val="313131"/>
          <w:sz w:val="29"/>
          <w:szCs w:val="29"/>
          <w:lang w:eastAsia="es-EC"/>
        </w:rPr>
      </w:pPr>
      <w:r w:rsidRPr="00702154">
        <w:rPr>
          <w:rFonts w:ascii="Arial" w:eastAsia="Times New Roman" w:hAnsi="Arial" w:cs="Arial"/>
          <w:b/>
          <w:bCs/>
          <w:color w:val="313131"/>
          <w:sz w:val="29"/>
          <w:szCs w:val="29"/>
          <w:lang w:eastAsia="es-EC"/>
        </w:rPr>
        <w:t>Módulo 5: Empleo público: ¿Cuántos funcionarios hay y cómo se distribuyen?</w:t>
      </w:r>
    </w:p>
    <w:p w:rsidR="00702154" w:rsidRPr="00702154" w:rsidRDefault="00702154" w:rsidP="00F71A10">
      <w:pPr>
        <w:numPr>
          <w:ilvl w:val="0"/>
          <w:numId w:val="5"/>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Empleo público</w:t>
      </w:r>
      <w:r w:rsidRPr="00702154">
        <w:rPr>
          <w:rFonts w:ascii="Arial" w:eastAsia="Times New Roman" w:hAnsi="Arial" w:cs="Arial"/>
          <w:color w:val="313131"/>
          <w:sz w:val="24"/>
          <w:szCs w:val="24"/>
          <w:lang w:eastAsia="es-EC"/>
        </w:rPr>
        <w:t>: comprende a todas las personas que trabajan para el estado, ya sea en organismos públicos, prestando servicios a los ciudadanos o en empresas públicas.</w:t>
      </w:r>
    </w:p>
    <w:p w:rsidR="00702154" w:rsidRPr="00702154" w:rsidRDefault="00702154" w:rsidP="00F71A10">
      <w:pPr>
        <w:numPr>
          <w:ilvl w:val="0"/>
          <w:numId w:val="5"/>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Empresas públicas</w:t>
      </w:r>
      <w:r w:rsidRPr="00702154">
        <w:rPr>
          <w:rFonts w:ascii="Arial" w:eastAsia="Times New Roman" w:hAnsi="Arial" w:cs="Arial"/>
          <w:color w:val="313131"/>
          <w:sz w:val="24"/>
          <w:szCs w:val="24"/>
          <w:lang w:eastAsia="es-EC"/>
        </w:rPr>
        <w:t>: entidades jurídicas que producen bienes o servicios para el mercado y que son controladas por unidades gubernamentales o pertenecen a ellas.</w:t>
      </w:r>
    </w:p>
    <w:p w:rsidR="00702154" w:rsidRPr="00702154" w:rsidRDefault="00702154" w:rsidP="00F71A10">
      <w:pPr>
        <w:numPr>
          <w:ilvl w:val="0"/>
          <w:numId w:val="5"/>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Fuerza laboral</w:t>
      </w:r>
      <w:r w:rsidRPr="00702154">
        <w:rPr>
          <w:rFonts w:ascii="Arial" w:eastAsia="Times New Roman" w:hAnsi="Arial" w:cs="Arial"/>
          <w:color w:val="313131"/>
          <w:sz w:val="24"/>
          <w:szCs w:val="24"/>
          <w:lang w:eastAsia="es-EC"/>
        </w:rPr>
        <w:t xml:space="preserve">: se refiere a todas las personas en edad de trabajar que ofertan su mano de obra para la producción de bienes o servicios. Comprende a todas las personas que </w:t>
      </w:r>
      <w:proofErr w:type="spellStart"/>
      <w:r w:rsidRPr="00702154">
        <w:rPr>
          <w:rFonts w:ascii="Arial" w:eastAsia="Times New Roman" w:hAnsi="Arial" w:cs="Arial"/>
          <w:color w:val="313131"/>
          <w:sz w:val="24"/>
          <w:szCs w:val="24"/>
          <w:lang w:eastAsia="es-EC"/>
        </w:rPr>
        <w:t>reunen</w:t>
      </w:r>
      <w:proofErr w:type="spellEnd"/>
      <w:r w:rsidRPr="00702154">
        <w:rPr>
          <w:rFonts w:ascii="Arial" w:eastAsia="Times New Roman" w:hAnsi="Arial" w:cs="Arial"/>
          <w:color w:val="313131"/>
          <w:sz w:val="24"/>
          <w:szCs w:val="24"/>
          <w:lang w:eastAsia="es-EC"/>
        </w:rPr>
        <w:t xml:space="preserve"> los requisitos para ser incluidas entre los empleados o los desempleados.</w:t>
      </w:r>
    </w:p>
    <w:p w:rsidR="00702154" w:rsidRPr="00702154" w:rsidRDefault="00702154" w:rsidP="00F71A10">
      <w:pPr>
        <w:numPr>
          <w:ilvl w:val="0"/>
          <w:numId w:val="5"/>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Tamaño del estado</w:t>
      </w:r>
      <w:r w:rsidRPr="00702154">
        <w:rPr>
          <w:rFonts w:ascii="Arial" w:eastAsia="Times New Roman" w:hAnsi="Arial" w:cs="Arial"/>
          <w:color w:val="313131"/>
          <w:sz w:val="24"/>
          <w:szCs w:val="24"/>
          <w:lang w:eastAsia="es-EC"/>
        </w:rPr>
        <w:t>: número de empleados públicos con que cuenta el país.</w:t>
      </w:r>
    </w:p>
    <w:p w:rsidR="00702154" w:rsidRPr="00702154" w:rsidRDefault="00702154" w:rsidP="00F71A10">
      <w:pPr>
        <w:shd w:val="clear" w:color="auto" w:fill="FFFFFF"/>
        <w:spacing w:after="150" w:line="336" w:lineRule="atLeast"/>
        <w:jc w:val="both"/>
        <w:outlineLvl w:val="2"/>
        <w:rPr>
          <w:rFonts w:ascii="Helvetica" w:eastAsia="Times New Roman" w:hAnsi="Helvetica" w:cs="Helvetica"/>
          <w:b/>
          <w:bCs/>
          <w:color w:val="313131"/>
          <w:sz w:val="29"/>
          <w:szCs w:val="29"/>
          <w:lang w:eastAsia="es-EC"/>
        </w:rPr>
      </w:pPr>
      <w:r w:rsidRPr="00702154">
        <w:rPr>
          <w:rFonts w:ascii="Arial" w:eastAsia="Times New Roman" w:hAnsi="Arial" w:cs="Arial"/>
          <w:b/>
          <w:bCs/>
          <w:color w:val="313131"/>
          <w:sz w:val="29"/>
          <w:szCs w:val="29"/>
          <w:lang w:eastAsia="es-EC"/>
        </w:rPr>
        <w:t>Módulo 6: ¿Cómo se gestiona el talento en el sector público?</w:t>
      </w:r>
    </w:p>
    <w:p w:rsidR="00702154" w:rsidRPr="00702154" w:rsidRDefault="00702154" w:rsidP="00F71A10">
      <w:pPr>
        <w:numPr>
          <w:ilvl w:val="0"/>
          <w:numId w:val="6"/>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Planificación de recursos humanos</w:t>
      </w:r>
      <w:r w:rsidRPr="00702154">
        <w:rPr>
          <w:rFonts w:ascii="Arial" w:eastAsia="Times New Roman" w:hAnsi="Arial" w:cs="Arial"/>
          <w:color w:val="313131"/>
          <w:sz w:val="24"/>
          <w:szCs w:val="24"/>
          <w:lang w:eastAsia="es-EC"/>
        </w:rPr>
        <w:t>: conjunto de prácticas que permiten definir </w:t>
      </w:r>
      <w:r w:rsidRPr="00702154">
        <w:rPr>
          <w:rFonts w:ascii="inherit" w:eastAsia="Times New Roman" w:hAnsi="inherit" w:cs="Arial"/>
          <w:color w:val="313131"/>
          <w:sz w:val="24"/>
          <w:szCs w:val="24"/>
          <w:lang w:eastAsia="es-EC"/>
        </w:rPr>
        <w:t>determinar de forma sistemática la provisión y demanda de empleados. Incluye, entre otros procesos, la selección, retención, estrategia de gestión del talento y contratación de personal.</w:t>
      </w:r>
    </w:p>
    <w:p w:rsidR="00702154" w:rsidRPr="00702154" w:rsidRDefault="00702154" w:rsidP="00F71A10">
      <w:pPr>
        <w:numPr>
          <w:ilvl w:val="0"/>
          <w:numId w:val="6"/>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Meritocracia</w:t>
      </w:r>
      <w:r w:rsidRPr="00702154">
        <w:rPr>
          <w:rFonts w:ascii="Arial" w:eastAsia="Times New Roman" w:hAnsi="Arial" w:cs="Arial"/>
          <w:color w:val="313131"/>
          <w:sz w:val="24"/>
          <w:szCs w:val="24"/>
          <w:lang w:eastAsia="es-EC"/>
        </w:rPr>
        <w:t>: es el uso del mérito en la gestión del servicio civil, para garantizar que quienes ingresan al servicio público tengan los conocimientos, habilidades y experiencia necesarios para desempeñar las tareas.</w:t>
      </w:r>
    </w:p>
    <w:p w:rsidR="00702154" w:rsidRPr="00702154" w:rsidRDefault="00702154" w:rsidP="00F71A10">
      <w:pPr>
        <w:shd w:val="clear" w:color="auto" w:fill="FFFFFF"/>
        <w:spacing w:after="150" w:line="336" w:lineRule="atLeast"/>
        <w:jc w:val="both"/>
        <w:outlineLvl w:val="2"/>
        <w:rPr>
          <w:rFonts w:ascii="Helvetica" w:eastAsia="Times New Roman" w:hAnsi="Helvetica" w:cs="Helvetica"/>
          <w:b/>
          <w:bCs/>
          <w:color w:val="313131"/>
          <w:sz w:val="29"/>
          <w:szCs w:val="29"/>
          <w:lang w:eastAsia="es-EC"/>
        </w:rPr>
      </w:pPr>
      <w:r w:rsidRPr="00702154">
        <w:rPr>
          <w:rFonts w:ascii="Arial" w:eastAsia="Times New Roman" w:hAnsi="Arial" w:cs="Arial"/>
          <w:b/>
          <w:bCs/>
          <w:color w:val="313131"/>
          <w:sz w:val="29"/>
          <w:szCs w:val="29"/>
          <w:lang w:eastAsia="es-EC"/>
        </w:rPr>
        <w:t>Módulo 7: Contratación pública estratégica: facilitando los negocios con el Estado</w:t>
      </w:r>
    </w:p>
    <w:p w:rsidR="00702154" w:rsidRPr="00702154" w:rsidRDefault="00702154" w:rsidP="00F71A10">
      <w:pPr>
        <w:numPr>
          <w:ilvl w:val="0"/>
          <w:numId w:val="7"/>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Consumo intermedio</w:t>
      </w:r>
      <w:r w:rsidRPr="00702154">
        <w:rPr>
          <w:rFonts w:ascii="inherit" w:eastAsia="Times New Roman" w:hAnsi="inherit" w:cs="Arial"/>
          <w:color w:val="313131"/>
          <w:sz w:val="24"/>
          <w:szCs w:val="24"/>
          <w:lang w:eastAsia="es-EC"/>
        </w:rPr>
        <w:t>: es el gasto del Gobierno en bienes y servicios para su propio uso, como la compra de repuestos o los servicios de mantenimiento de equipos o maquinarias.</w:t>
      </w:r>
    </w:p>
    <w:p w:rsidR="00702154" w:rsidRPr="00702154" w:rsidRDefault="00702154" w:rsidP="00F71A10">
      <w:pPr>
        <w:numPr>
          <w:ilvl w:val="0"/>
          <w:numId w:val="7"/>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Inversión</w:t>
      </w:r>
      <w:r w:rsidRPr="00702154">
        <w:rPr>
          <w:rFonts w:ascii="inherit" w:eastAsia="Times New Roman" w:hAnsi="inherit" w:cs="Arial"/>
          <w:color w:val="313131"/>
          <w:sz w:val="24"/>
          <w:szCs w:val="24"/>
          <w:lang w:eastAsia="es-EC"/>
        </w:rPr>
        <w:t>: gasto público en infraestructuras que promueven el crecimiento económico y social.</w:t>
      </w:r>
    </w:p>
    <w:p w:rsidR="00702154" w:rsidRPr="00702154" w:rsidRDefault="00702154" w:rsidP="00F71A10">
      <w:pPr>
        <w:numPr>
          <w:ilvl w:val="0"/>
          <w:numId w:val="7"/>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lastRenderedPageBreak/>
        <w:t>Contratación pública</w:t>
      </w:r>
      <w:r w:rsidRPr="00702154">
        <w:rPr>
          <w:rFonts w:ascii="inherit" w:eastAsia="Times New Roman" w:hAnsi="inherit" w:cs="Arial"/>
          <w:color w:val="313131"/>
          <w:sz w:val="24"/>
          <w:szCs w:val="24"/>
          <w:lang w:eastAsia="es-EC"/>
        </w:rPr>
        <w:t>: la contratación pública o compras y contrataciones estatales hacen referencia a todas aquellas compras de bienes, obras y servicios que son realizadas por los Gobiernos o las empresas públicas.</w:t>
      </w:r>
    </w:p>
    <w:p w:rsidR="00702154" w:rsidRPr="00702154" w:rsidRDefault="00702154" w:rsidP="00F71A10">
      <w:pPr>
        <w:numPr>
          <w:ilvl w:val="0"/>
          <w:numId w:val="7"/>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Contratación pública estratégica</w:t>
      </w:r>
      <w:r w:rsidRPr="00702154">
        <w:rPr>
          <w:rFonts w:ascii="inherit" w:eastAsia="Times New Roman" w:hAnsi="inherit" w:cs="Arial"/>
          <w:color w:val="313131"/>
          <w:sz w:val="24"/>
          <w:szCs w:val="24"/>
          <w:lang w:eastAsia="es-EC"/>
        </w:rPr>
        <w:t>: se refiere al uso por parte de los Gobiernos de la contratación pública como instrumento para el logro de objetivos económicos, sociales y medioambientales.</w:t>
      </w:r>
    </w:p>
    <w:p w:rsidR="00702154" w:rsidRPr="00702154" w:rsidRDefault="00702154" w:rsidP="00F71A10">
      <w:pPr>
        <w:numPr>
          <w:ilvl w:val="0"/>
          <w:numId w:val="7"/>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Compras públicas electrónicas gubernamentales</w:t>
      </w:r>
      <w:r w:rsidRPr="00702154">
        <w:rPr>
          <w:rFonts w:ascii="inherit" w:eastAsia="Times New Roman" w:hAnsi="inherit" w:cs="Arial"/>
          <w:color w:val="313131"/>
          <w:sz w:val="24"/>
          <w:szCs w:val="24"/>
          <w:lang w:eastAsia="es-EC"/>
        </w:rPr>
        <w:t xml:space="preserve">: </w:t>
      </w:r>
      <w:proofErr w:type="spellStart"/>
      <w:r w:rsidRPr="00702154">
        <w:rPr>
          <w:rFonts w:ascii="inherit" w:eastAsia="Times New Roman" w:hAnsi="inherit" w:cs="Arial"/>
          <w:color w:val="313131"/>
          <w:sz w:val="24"/>
          <w:szCs w:val="24"/>
          <w:lang w:eastAsia="es-EC"/>
        </w:rPr>
        <w:t>eGP</w:t>
      </w:r>
      <w:proofErr w:type="spellEnd"/>
      <w:r w:rsidRPr="00702154">
        <w:rPr>
          <w:rFonts w:ascii="inherit" w:eastAsia="Times New Roman" w:hAnsi="inherit" w:cs="Arial"/>
          <w:color w:val="313131"/>
          <w:sz w:val="24"/>
          <w:szCs w:val="24"/>
          <w:lang w:eastAsia="es-EC"/>
        </w:rPr>
        <w:t>, por sus siglas en inglés e-</w:t>
      </w:r>
      <w:proofErr w:type="spellStart"/>
      <w:r w:rsidRPr="00702154">
        <w:rPr>
          <w:rFonts w:ascii="inherit" w:eastAsia="Times New Roman" w:hAnsi="inherit" w:cs="Arial"/>
          <w:color w:val="313131"/>
          <w:sz w:val="24"/>
          <w:szCs w:val="24"/>
          <w:lang w:eastAsia="es-EC"/>
        </w:rPr>
        <w:t>Government</w:t>
      </w:r>
      <w:proofErr w:type="spellEnd"/>
      <w:r w:rsidRPr="00702154">
        <w:rPr>
          <w:rFonts w:ascii="inherit" w:eastAsia="Times New Roman" w:hAnsi="inherit" w:cs="Arial"/>
          <w:color w:val="313131"/>
          <w:sz w:val="24"/>
          <w:szCs w:val="24"/>
          <w:lang w:eastAsia="es-EC"/>
        </w:rPr>
        <w:t xml:space="preserve"> </w:t>
      </w:r>
      <w:proofErr w:type="spellStart"/>
      <w:r w:rsidRPr="00702154">
        <w:rPr>
          <w:rFonts w:ascii="inherit" w:eastAsia="Times New Roman" w:hAnsi="inherit" w:cs="Arial"/>
          <w:color w:val="313131"/>
          <w:sz w:val="24"/>
          <w:szCs w:val="24"/>
          <w:lang w:eastAsia="es-EC"/>
        </w:rPr>
        <w:t>Procurement</w:t>
      </w:r>
      <w:proofErr w:type="spellEnd"/>
      <w:r w:rsidRPr="00702154">
        <w:rPr>
          <w:rFonts w:ascii="inherit" w:eastAsia="Times New Roman" w:hAnsi="inherit" w:cs="Arial"/>
          <w:color w:val="313131"/>
          <w:sz w:val="24"/>
          <w:szCs w:val="24"/>
          <w:lang w:eastAsia="es-EC"/>
        </w:rPr>
        <w:t>, se refiere a la utilización de tecnologías de la información (por ejemplo, Internet) por parte de los Gobiernos para mantener la comunicación y relaciones de contratación pública con proveedores y contratistas.</w:t>
      </w:r>
    </w:p>
    <w:p w:rsidR="00702154" w:rsidRPr="00702154" w:rsidRDefault="00702154" w:rsidP="00F71A10">
      <w:pPr>
        <w:numPr>
          <w:ilvl w:val="0"/>
          <w:numId w:val="7"/>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Agencias de contratación pública</w:t>
      </w:r>
      <w:r w:rsidRPr="00702154">
        <w:rPr>
          <w:rFonts w:ascii="inherit" w:eastAsia="Times New Roman" w:hAnsi="inherit" w:cs="Arial"/>
          <w:color w:val="313131"/>
          <w:sz w:val="24"/>
          <w:szCs w:val="24"/>
          <w:lang w:eastAsia="es-EC"/>
        </w:rPr>
        <w:t>: en ALC, las agencias de contratación pública o entidades rectoras y de monitoreo de la contratación pública, son órganos centrales encargados de la regulación y el monitoreo del sistema de contratación pública.</w:t>
      </w:r>
    </w:p>
    <w:p w:rsidR="00702154" w:rsidRPr="00702154" w:rsidRDefault="00702154" w:rsidP="00F71A10">
      <w:pPr>
        <w:shd w:val="clear" w:color="auto" w:fill="FFFFFF"/>
        <w:spacing w:after="150" w:line="336" w:lineRule="atLeast"/>
        <w:jc w:val="both"/>
        <w:outlineLvl w:val="2"/>
        <w:rPr>
          <w:rFonts w:ascii="Helvetica" w:eastAsia="Times New Roman" w:hAnsi="Helvetica" w:cs="Helvetica"/>
          <w:b/>
          <w:bCs/>
          <w:color w:val="313131"/>
          <w:sz w:val="29"/>
          <w:szCs w:val="29"/>
          <w:lang w:eastAsia="es-EC"/>
        </w:rPr>
      </w:pPr>
      <w:r w:rsidRPr="00702154">
        <w:rPr>
          <w:rFonts w:ascii="Arial" w:eastAsia="Times New Roman" w:hAnsi="Arial" w:cs="Arial"/>
          <w:b/>
          <w:bCs/>
          <w:color w:val="313131"/>
          <w:sz w:val="29"/>
          <w:szCs w:val="29"/>
          <w:lang w:eastAsia="es-EC"/>
        </w:rPr>
        <w:t>Módulo 8: Gobierno digital: estrategia y desafíos</w:t>
      </w:r>
    </w:p>
    <w:p w:rsidR="00702154" w:rsidRPr="00702154" w:rsidRDefault="00702154" w:rsidP="00F71A10">
      <w:pPr>
        <w:numPr>
          <w:ilvl w:val="0"/>
          <w:numId w:val="8"/>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Estrategia digital</w:t>
      </w:r>
      <w:r w:rsidRPr="00702154">
        <w:rPr>
          <w:rFonts w:ascii="Arial" w:eastAsia="Times New Roman" w:hAnsi="Arial" w:cs="Arial"/>
          <w:color w:val="313131"/>
          <w:sz w:val="24"/>
          <w:szCs w:val="24"/>
          <w:lang w:eastAsia="es-EC"/>
        </w:rPr>
        <w:t>: se trata de un ejercicio detallado que incluye el alcance, el financiamiento, el monitoreo, los derechos y obligaciones de las partes afectadas, los roles de los diferentes actores y un marco de gobernanza que proporciona mecanismos de coordinación. El ejercicio debería concitar todo el apoyo político posible.</w:t>
      </w:r>
    </w:p>
    <w:p w:rsidR="00702154" w:rsidRPr="00702154" w:rsidRDefault="00702154" w:rsidP="00F71A10">
      <w:pPr>
        <w:numPr>
          <w:ilvl w:val="0"/>
          <w:numId w:val="8"/>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Gobierno digital</w:t>
      </w:r>
      <w:r w:rsidRPr="00702154">
        <w:rPr>
          <w:rFonts w:ascii="Arial" w:eastAsia="Times New Roman" w:hAnsi="Arial" w:cs="Arial"/>
          <w:color w:val="313131"/>
          <w:sz w:val="24"/>
          <w:szCs w:val="24"/>
          <w:lang w:eastAsia="es-EC"/>
        </w:rPr>
        <w:t xml:space="preserve">: se refiere al uso de tecnologías de la información y comunicación (TIC) en el marco de las estrategias de modernización para crear valor público. Se apoya en el ecosistema digital del Gobierno que incluye: actores de Gobierno, organizaciones no gubernamentales, empresas, asociaciones de ciudadanos e </w:t>
      </w:r>
      <w:proofErr w:type="spellStart"/>
      <w:r w:rsidRPr="00702154">
        <w:rPr>
          <w:rFonts w:ascii="Arial" w:eastAsia="Times New Roman" w:hAnsi="Arial" w:cs="Arial"/>
          <w:color w:val="313131"/>
          <w:sz w:val="24"/>
          <w:szCs w:val="24"/>
          <w:lang w:eastAsia="es-EC"/>
        </w:rPr>
        <w:t>invididuos</w:t>
      </w:r>
      <w:proofErr w:type="spellEnd"/>
      <w:r w:rsidRPr="00702154">
        <w:rPr>
          <w:rFonts w:ascii="Arial" w:eastAsia="Times New Roman" w:hAnsi="Arial" w:cs="Arial"/>
          <w:color w:val="313131"/>
          <w:sz w:val="24"/>
          <w:szCs w:val="24"/>
          <w:lang w:eastAsia="es-EC"/>
        </w:rPr>
        <w:t xml:space="preserve"> que apoyan la producción y acceso a datos, servicios y contenidos a través de interacciones con el Gobierno.</w:t>
      </w:r>
    </w:p>
    <w:p w:rsidR="00702154" w:rsidRPr="00702154" w:rsidRDefault="00702154" w:rsidP="00F71A10">
      <w:pPr>
        <w:numPr>
          <w:ilvl w:val="0"/>
          <w:numId w:val="8"/>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Inversión en TIC</w:t>
      </w:r>
      <w:r w:rsidRPr="00702154">
        <w:rPr>
          <w:rFonts w:ascii="Arial" w:eastAsia="Times New Roman" w:hAnsi="Arial" w:cs="Arial"/>
          <w:color w:val="313131"/>
          <w:sz w:val="24"/>
          <w:szCs w:val="24"/>
          <w:lang w:eastAsia="es-EC"/>
        </w:rPr>
        <w:t>: proyecto de inversión donde el uso de las TIC es un componente esencial para el éxito de los resultados planificados. El componente de TIC puede centrarse en la introducción de nuevas tecnologías o en la actualización de las ya existentes.</w:t>
      </w:r>
    </w:p>
    <w:p w:rsidR="00702154" w:rsidRPr="00702154" w:rsidRDefault="00702154" w:rsidP="00F71A10">
      <w:pPr>
        <w:shd w:val="clear" w:color="auto" w:fill="FFFFFF"/>
        <w:spacing w:after="150" w:line="336" w:lineRule="atLeast"/>
        <w:jc w:val="both"/>
        <w:outlineLvl w:val="2"/>
        <w:rPr>
          <w:rFonts w:ascii="Helvetica" w:eastAsia="Times New Roman" w:hAnsi="Helvetica" w:cs="Helvetica"/>
          <w:b/>
          <w:bCs/>
          <w:color w:val="313131"/>
          <w:sz w:val="29"/>
          <w:szCs w:val="29"/>
          <w:lang w:eastAsia="es-EC"/>
        </w:rPr>
      </w:pPr>
      <w:r w:rsidRPr="00702154">
        <w:rPr>
          <w:rFonts w:ascii="Arial" w:eastAsia="Times New Roman" w:hAnsi="Arial" w:cs="Arial"/>
          <w:b/>
          <w:bCs/>
          <w:color w:val="313131"/>
          <w:sz w:val="29"/>
          <w:szCs w:val="29"/>
          <w:lang w:eastAsia="es-EC"/>
        </w:rPr>
        <w:t>Módulo 9: Gobierno abierto: promoviendo la transparencia y la participación ciudadana </w:t>
      </w:r>
    </w:p>
    <w:p w:rsidR="00702154" w:rsidRPr="00702154" w:rsidRDefault="00702154" w:rsidP="00F71A10">
      <w:pPr>
        <w:numPr>
          <w:ilvl w:val="0"/>
          <w:numId w:val="9"/>
        </w:numPr>
        <w:shd w:val="clear" w:color="auto" w:fill="FFFFFF"/>
        <w:spacing w:before="100" w:beforeAutospacing="1" w:after="170" w:line="336" w:lineRule="atLeast"/>
        <w:ind w:left="0"/>
        <w:jc w:val="both"/>
        <w:rPr>
          <w:rFonts w:ascii="Helvetica" w:eastAsia="Times New Roman" w:hAnsi="Helvetica" w:cs="Helvetica"/>
          <w:color w:val="313131"/>
          <w:sz w:val="24"/>
          <w:szCs w:val="24"/>
          <w:lang w:eastAsia="es-EC"/>
        </w:rPr>
      </w:pPr>
      <w:r w:rsidRPr="00702154">
        <w:rPr>
          <w:rFonts w:ascii="Arial" w:eastAsia="Times New Roman" w:hAnsi="Arial" w:cs="Arial"/>
          <w:b/>
          <w:bCs/>
          <w:color w:val="313131"/>
          <w:sz w:val="24"/>
          <w:szCs w:val="24"/>
          <w:lang w:eastAsia="es-EC"/>
        </w:rPr>
        <w:t>Gobierno abierto</w:t>
      </w:r>
      <w:r w:rsidRPr="00702154">
        <w:rPr>
          <w:rFonts w:ascii="inherit" w:eastAsia="Times New Roman" w:hAnsi="inherit" w:cs="Arial"/>
          <w:color w:val="313131"/>
          <w:sz w:val="24"/>
          <w:szCs w:val="24"/>
          <w:lang w:eastAsia="es-EC"/>
        </w:rPr>
        <w:t xml:space="preserve">: comprende la transparencia de las acciones de Gobierno, la accesibilidad a los servicios y a la información y la capacidad de respuesta de los Gobiernos a nuevas ideas, demandas y necesidades. Un Gobierno es abierto cuando es transparente, rinde cuentas, opera con integridad, y de este modo -a través de instrumentos de política y prácticas que conducen a procesos de cambio e innovación- tiene mayor </w:t>
      </w:r>
      <w:r w:rsidRPr="00702154">
        <w:rPr>
          <w:rFonts w:ascii="inherit" w:eastAsia="Times New Roman" w:hAnsi="inherit" w:cs="Arial"/>
          <w:color w:val="313131"/>
          <w:sz w:val="24"/>
          <w:szCs w:val="24"/>
          <w:lang w:eastAsia="es-EC"/>
        </w:rPr>
        <w:lastRenderedPageBreak/>
        <w:t>probabilidad de liderar hacia mejores servicios y políticas, mayor confianza, bienestar social y calidad de la democracia.</w:t>
      </w:r>
    </w:p>
    <w:p w:rsidR="004354B3" w:rsidRDefault="004354B3" w:rsidP="00F71A10">
      <w:pPr>
        <w:jc w:val="both"/>
      </w:pPr>
    </w:p>
    <w:sectPr w:rsidR="004354B3" w:rsidSect="007D21A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5F2"/>
    <w:multiLevelType w:val="multilevel"/>
    <w:tmpl w:val="3408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46A2B"/>
    <w:multiLevelType w:val="multilevel"/>
    <w:tmpl w:val="7DC4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E0482"/>
    <w:multiLevelType w:val="multilevel"/>
    <w:tmpl w:val="2416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644314"/>
    <w:multiLevelType w:val="multilevel"/>
    <w:tmpl w:val="4DD2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ED1131"/>
    <w:multiLevelType w:val="multilevel"/>
    <w:tmpl w:val="866E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146C06"/>
    <w:multiLevelType w:val="multilevel"/>
    <w:tmpl w:val="BC02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DE5FD8"/>
    <w:multiLevelType w:val="multilevel"/>
    <w:tmpl w:val="57E2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885152"/>
    <w:multiLevelType w:val="multilevel"/>
    <w:tmpl w:val="0EFA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CD690A"/>
    <w:multiLevelType w:val="multilevel"/>
    <w:tmpl w:val="CC42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2"/>
  </w:num>
  <w:num w:numId="4">
    <w:abstractNumId w:val="0"/>
  </w:num>
  <w:num w:numId="5">
    <w:abstractNumId w:val="1"/>
  </w:num>
  <w:num w:numId="6">
    <w:abstractNumId w:val="7"/>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54"/>
    <w:rsid w:val="004354B3"/>
    <w:rsid w:val="00702154"/>
    <w:rsid w:val="0077074B"/>
    <w:rsid w:val="007D21A5"/>
    <w:rsid w:val="00F71A10"/>
    <w:rsid w:val="00FC770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92410-C1DE-4FC2-8C60-2E058343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702154"/>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02154"/>
    <w:rPr>
      <w:rFonts w:ascii="Times New Roman" w:eastAsia="Times New Roman" w:hAnsi="Times New Roman" w:cs="Times New Roman"/>
      <w:b/>
      <w:bCs/>
      <w:sz w:val="27"/>
      <w:szCs w:val="27"/>
      <w:lang w:eastAsia="es-EC"/>
    </w:rPr>
  </w:style>
  <w:style w:type="character" w:styleId="Textoennegrita">
    <w:name w:val="Strong"/>
    <w:basedOn w:val="Fuentedeprrafopredeter"/>
    <w:uiPriority w:val="22"/>
    <w:qFormat/>
    <w:rsid w:val="00702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4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1360</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Vinicio Recalde Enriquez</dc:creator>
  <cp:keywords/>
  <dc:description/>
  <cp:lastModifiedBy>Marco Vinicio Recalde Enriquez</cp:lastModifiedBy>
  <cp:revision>3</cp:revision>
  <dcterms:created xsi:type="dcterms:W3CDTF">2018-10-23T18:41:00Z</dcterms:created>
  <dcterms:modified xsi:type="dcterms:W3CDTF">2018-10-23T18:51:00Z</dcterms:modified>
</cp:coreProperties>
</file>